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仿宋_GB2312" w:eastAsia="仿宋_GB2312" w:cs="仿宋_GB2312"/>
        </w:rPr>
      </w:pP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br w:type="page"/>
      </w: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rPr>
          <w:rFonts w:hint="eastAsia" w:ascii="仿宋_GB2312" w:hAnsi="仿宋_GB2312" w:eastAsia="仿宋_GB2312" w:cs="仿宋_GB2312"/>
        </w:rPr>
      </w:pPr>
    </w:p>
    <w:p>
      <w:pPr>
        <w:jc w:val="center"/>
        <w:rPr>
          <w:rFonts w:hint="eastAsia" w:ascii="方正小标宋简体" w:eastAsia="方正小标宋简体"/>
          <w:sz w:val="52"/>
          <w:szCs w:val="52"/>
        </w:rPr>
      </w:pPr>
      <w:r>
        <w:rPr>
          <w:rFonts w:hint="eastAsia" w:ascii="方正小标宋简体" w:eastAsia="方正小标宋简体"/>
          <w:sz w:val="52"/>
          <w:szCs w:val="52"/>
        </w:rPr>
        <w:t>广州市净水有限公司京溪分公司生产区域车辆安全管理监控系统改造项目</w:t>
      </w:r>
    </w:p>
    <w:p>
      <w:pPr>
        <w:jc w:val="center"/>
        <w:rPr>
          <w:rFonts w:ascii="方正小标宋简体" w:eastAsia="方正小标宋简体"/>
          <w:sz w:val="52"/>
          <w:szCs w:val="52"/>
        </w:rPr>
      </w:pPr>
      <w:r>
        <w:rPr>
          <w:rFonts w:hint="eastAsia" w:ascii="方正小标宋简体" w:eastAsia="方正小标宋简体"/>
          <w:sz w:val="52"/>
          <w:szCs w:val="52"/>
        </w:rPr>
        <w:t>采购文件</w:t>
      </w: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rPr>
          <w:rFonts w:ascii="仿宋_GB2312" w:eastAsia="仿宋_GB2312"/>
          <w:sz w:val="32"/>
          <w:szCs w:val="32"/>
        </w:rPr>
      </w:pPr>
    </w:p>
    <w:p>
      <w:pPr>
        <w:jc w:val="center"/>
        <w:rPr>
          <w:rFonts w:hint="eastAsia" w:ascii="黑体" w:hAnsi="黑体" w:eastAsia="黑体"/>
          <w:sz w:val="32"/>
          <w:szCs w:val="32"/>
        </w:rPr>
      </w:pPr>
      <w:r>
        <w:rPr>
          <w:rFonts w:hint="eastAsia" w:ascii="黑体" w:hAnsi="黑体" w:eastAsia="黑体" w:cs="仿宋_GB2312"/>
          <w:sz w:val="32"/>
          <w:szCs w:val="32"/>
        </w:rPr>
        <w:t>广州市净水有限公司</w:t>
      </w:r>
    </w:p>
    <w:p>
      <w:pPr>
        <w:jc w:val="center"/>
        <w:rPr>
          <w:rFonts w:hint="eastAsia" w:ascii="黑体" w:hAnsi="黑体" w:eastAsia="黑体" w:cs="仿宋_GB2312"/>
          <w:sz w:val="32"/>
          <w:szCs w:val="32"/>
        </w:rPr>
      </w:pPr>
      <w:r>
        <w:rPr>
          <w:rFonts w:hint="eastAsia" w:ascii="黑体" w:hAnsi="黑体" w:eastAsia="黑体" w:cs="仿宋_GB2312"/>
          <w:sz w:val="32"/>
          <w:szCs w:val="32"/>
        </w:rPr>
        <w:t>二〇二五年十</w:t>
      </w:r>
      <w:r>
        <w:rPr>
          <w:rFonts w:hint="eastAsia" w:ascii="黑体" w:hAnsi="黑体" w:eastAsia="黑体" w:cs="仿宋_GB2312"/>
          <w:sz w:val="32"/>
          <w:szCs w:val="32"/>
          <w:lang w:val="en-US" w:eastAsia="zh-CN"/>
        </w:rPr>
        <w:t>一</w:t>
      </w:r>
      <w:r>
        <w:rPr>
          <w:rFonts w:hint="eastAsia" w:ascii="黑体" w:hAnsi="黑体" w:eastAsia="黑体" w:cs="仿宋_GB2312"/>
          <w:sz w:val="32"/>
          <w:szCs w:val="32"/>
        </w:rPr>
        <w:t>月</w:t>
      </w:r>
    </w:p>
    <w:p>
      <w:pPr>
        <w:jc w:val="center"/>
        <w:rPr>
          <w:rFonts w:hint="eastAsia" w:ascii="方正小标宋简体" w:hAnsi="方正小标宋简体" w:eastAsia="方正小标宋简体" w:cs="方正小标宋简体"/>
          <w:sz w:val="44"/>
          <w:szCs w:val="44"/>
        </w:rPr>
        <w:sectPr>
          <w:footerReference r:id="rId3" w:type="default"/>
          <w:footerReference r:id="rId4" w:type="even"/>
          <w:pgSz w:w="11906" w:h="16838"/>
          <w:pgMar w:top="2098" w:right="1474" w:bottom="1985" w:left="1588" w:header="851" w:footer="992" w:gutter="0"/>
          <w:pgNumType w:start="0"/>
          <w:cols w:space="425" w:num="1"/>
          <w:titlePg/>
          <w:docGrid w:type="lines" w:linePitch="312" w:charSpace="0"/>
        </w:sectPr>
      </w:pPr>
    </w:p>
    <w:p>
      <w:pPr>
        <w:pStyle w:val="3"/>
        <w:spacing w:before="0" w:after="0" w:line="360" w:lineRule="auto"/>
      </w:pPr>
      <w:r>
        <w:rPr>
          <w:rFonts w:hint="eastAsia"/>
        </w:rPr>
        <w:t>目   录</w:t>
      </w:r>
    </w:p>
    <w:p>
      <w:pPr>
        <w:spacing w:line="360" w:lineRule="auto"/>
        <w:rPr>
          <w:rFonts w:hint="eastAsia" w:ascii="仿宋_GB2312" w:hAnsi="仿宋_GB2312" w:eastAsia="仿宋_GB2312" w:cs="仿宋_GB2312"/>
          <w:sz w:val="32"/>
          <w:szCs w:val="32"/>
        </w:rPr>
      </w:pPr>
    </w:p>
    <w:p>
      <w:pPr>
        <w:pStyle w:val="19"/>
        <w:numPr>
          <w:ilvl w:val="0"/>
          <w:numId w:val="1"/>
        </w:numPr>
        <w:tabs>
          <w:tab w:val="right" w:pos="8844"/>
        </w:tabs>
        <w:spacing w:after="0"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采购公告（采购邀请书）</w:t>
      </w:r>
    </w:p>
    <w:p>
      <w:pPr>
        <w:pStyle w:val="19"/>
        <w:numPr>
          <w:ilvl w:val="0"/>
          <w:numId w:val="1"/>
        </w:numPr>
        <w:tabs>
          <w:tab w:val="right" w:pos="8844"/>
        </w:tabs>
        <w:spacing w:after="0"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供应商须知</w:t>
      </w:r>
    </w:p>
    <w:p>
      <w:pPr>
        <w:pStyle w:val="19"/>
        <w:numPr>
          <w:ilvl w:val="0"/>
          <w:numId w:val="1"/>
        </w:numPr>
        <w:tabs>
          <w:tab w:val="right" w:pos="8844"/>
        </w:tabs>
        <w:spacing w:after="0"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采购方法</w:t>
      </w:r>
    </w:p>
    <w:p>
      <w:pPr>
        <w:pStyle w:val="19"/>
        <w:numPr>
          <w:ilvl w:val="0"/>
          <w:numId w:val="1"/>
        </w:numPr>
        <w:tabs>
          <w:tab w:val="right" w:pos="8844"/>
        </w:tabs>
        <w:spacing w:after="0"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评审方法</w:t>
      </w:r>
    </w:p>
    <w:p>
      <w:pPr>
        <w:pStyle w:val="19"/>
        <w:numPr>
          <w:ilvl w:val="0"/>
          <w:numId w:val="1"/>
        </w:numPr>
        <w:tabs>
          <w:tab w:val="right" w:pos="8844"/>
        </w:tabs>
        <w:spacing w:after="0"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采购需求</w:t>
      </w:r>
    </w:p>
    <w:p>
      <w:pPr>
        <w:pStyle w:val="19"/>
        <w:numPr>
          <w:ilvl w:val="0"/>
          <w:numId w:val="1"/>
        </w:numPr>
        <w:tabs>
          <w:tab w:val="right" w:pos="8844"/>
        </w:tabs>
        <w:spacing w:after="0"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合同草案</w:t>
      </w:r>
    </w:p>
    <w:p>
      <w:pPr>
        <w:pStyle w:val="19"/>
        <w:numPr>
          <w:ilvl w:val="0"/>
          <w:numId w:val="1"/>
        </w:numPr>
        <w:tabs>
          <w:tab w:val="right" w:pos="8844"/>
        </w:tabs>
        <w:spacing w:after="0" w:line="360"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响应文件格式要求</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"1-1" \n  \h \u </w:instrText>
      </w:r>
      <w:r>
        <w:rPr>
          <w:rFonts w:hint="eastAsia" w:ascii="仿宋_GB2312" w:hAnsi="仿宋_GB2312" w:eastAsia="仿宋_GB2312" w:cs="仿宋_GB2312"/>
          <w:sz w:val="32"/>
          <w:szCs w:val="32"/>
        </w:rPr>
        <w:fldChar w:fldCharType="separate"/>
      </w:r>
      <w:r>
        <w:fldChar w:fldCharType="begin"/>
      </w:r>
      <w:r>
        <w:instrText xml:space="preserve"> HYPERLINK \l "_Toc18800" </w:instrText>
      </w:r>
      <w:r>
        <w:fldChar w:fldCharType="separate"/>
      </w:r>
      <w:r>
        <w:fldChar w:fldCharType="end"/>
      </w:r>
    </w:p>
    <w:p>
      <w:pPr>
        <w:rPr>
          <w:rFonts w:hint="eastAsia" w:ascii="仿宋_GB2312" w:hAnsi="仿宋_GB2312" w:eastAsia="仿宋_GB2312" w:cs="仿宋_GB2312"/>
          <w:sz w:val="32"/>
          <w:szCs w:val="32"/>
        </w:rPr>
        <w:sectPr>
          <w:footerReference r:id="rId6" w:type="first"/>
          <w:footerReference r:id="rId5" w:type="default"/>
          <w:pgSz w:w="11906" w:h="16838"/>
          <w:pgMar w:top="2098" w:right="1474" w:bottom="1985" w:left="1588" w:header="737" w:footer="992" w:gutter="0"/>
          <w:pgNumType w:start="1"/>
          <w:cols w:space="425" w:num="1"/>
          <w:docGrid w:type="lines" w:linePitch="312" w:charSpace="0"/>
        </w:sectPr>
      </w:pPr>
      <w:r>
        <w:rPr>
          <w:rFonts w:hint="eastAsia" w:ascii="仿宋_GB2312" w:hAnsi="仿宋_GB2312" w:eastAsia="仿宋_GB2312" w:cs="仿宋_GB2312"/>
          <w:sz w:val="32"/>
          <w:szCs w:val="32"/>
        </w:rPr>
        <w:br w:type="page"/>
      </w:r>
    </w:p>
    <w:p>
      <w:pPr>
        <w:pStyle w:val="24"/>
        <w:adjustRightInd/>
        <w:snapToGrid/>
        <w:ind w:firstLine="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end"/>
      </w:r>
      <w:bookmarkStart w:id="0" w:name="_Toc11322"/>
      <w:bookmarkStart w:id="1" w:name="_Toc18145"/>
      <w:bookmarkStart w:id="2" w:name="_Toc4275"/>
      <w:bookmarkStart w:id="3" w:name="_Toc31938"/>
      <w:bookmarkStart w:id="4" w:name="_Toc19609"/>
      <w:bookmarkStart w:id="5" w:name="_Toc26148"/>
      <w:bookmarkStart w:id="6" w:name="_Toc1711"/>
      <w:bookmarkStart w:id="7" w:name="_Toc17696"/>
      <w:bookmarkStart w:id="8" w:name="_Toc7519"/>
      <w:bookmarkStart w:id="9" w:name="_Toc1669"/>
      <w:bookmarkStart w:id="10" w:name="_Toc17801"/>
    </w:p>
    <w:p>
      <w:pPr>
        <w:pBdr>
          <w:top w:val="double" w:color="auto" w:sz="4" w:space="0"/>
          <w:bottom w:val="double" w:color="auto" w:sz="4" w:space="0"/>
        </w:pBdr>
        <w:jc w:val="center"/>
        <w:rPr>
          <w:rFonts w:hint="eastAsia" w:ascii="仿宋_GB2312" w:hAnsi="仿宋_GB2312" w:eastAsia="仿宋_GB2312" w:cs="仿宋_GB2312"/>
          <w:sz w:val="44"/>
          <w:szCs w:val="44"/>
        </w:rPr>
      </w:pPr>
      <w:r>
        <w:rPr>
          <w:rFonts w:hint="eastAsia" w:ascii="方正小标宋简体" w:hAnsi="方正小标宋简体" w:eastAsia="方正小标宋简体" w:cs="方正小标宋简体"/>
          <w:sz w:val="44"/>
          <w:szCs w:val="44"/>
        </w:rPr>
        <w:t>第一章</w:t>
      </w:r>
    </w:p>
    <w:bookmarkEnd w:id="0"/>
    <w:bookmarkEnd w:id="1"/>
    <w:bookmarkEnd w:id="2"/>
    <w:bookmarkEnd w:id="3"/>
    <w:bookmarkEnd w:id="4"/>
    <w:bookmarkEnd w:id="5"/>
    <w:bookmarkEnd w:id="6"/>
    <w:bookmarkEnd w:id="7"/>
    <w:bookmarkEnd w:id="8"/>
    <w:bookmarkEnd w:id="9"/>
    <w:bookmarkEnd w:id="10"/>
    <w:p>
      <w:pPr>
        <w:rPr>
          <w:rFonts w:hint="eastAsia" w:ascii="仿宋_GB2312" w:hAnsi="仿宋_GB2312" w:eastAsia="仿宋_GB2312" w:cs="仿宋_GB2312"/>
          <w:sz w:val="28"/>
          <w:szCs w:val="28"/>
        </w:rPr>
      </w:pPr>
    </w:p>
    <w:p>
      <w:pPr>
        <w:pStyle w:val="3"/>
        <w:spacing w:before="0" w:after="0" w:line="360" w:lineRule="auto"/>
      </w:pPr>
      <w:r>
        <w:rPr>
          <w:rFonts w:hint="eastAsia"/>
        </w:rPr>
        <w:t>采购公告（采购邀请书）</w:t>
      </w:r>
    </w:p>
    <w:p>
      <w:pPr>
        <w:pStyle w:val="15"/>
        <w:rPr>
          <w:rFonts w:eastAsia="方正小标宋简体"/>
          <w:kern w:val="44"/>
          <w:sz w:val="44"/>
          <w:szCs w:val="44"/>
        </w:rPr>
      </w:pPr>
      <w:r>
        <w:br w:type="page"/>
      </w:r>
    </w:p>
    <w:p>
      <w:pPr>
        <w:adjustRightInd w:val="0"/>
        <w:snapToGrid w:val="0"/>
        <w:spacing w:before="156" w:beforeLines="50" w:after="156" w:afterLines="50" w:line="600" w:lineRule="exact"/>
        <w:jc w:val="left"/>
        <w:rPr>
          <w:rFonts w:hint="eastAsia" w:asciiTheme="minorEastAsia" w:hAnsiTheme="minorEastAsia"/>
          <w:sz w:val="24"/>
          <w:szCs w:val="24"/>
        </w:rPr>
      </w:pPr>
      <w:r>
        <w:rPr>
          <w:rFonts w:hint="eastAsia" w:asciiTheme="minorEastAsia" w:hAnsiTheme="minorEastAsia"/>
          <w:sz w:val="24"/>
          <w:szCs w:val="24"/>
        </w:rPr>
        <w:t>适用于纸质评审的公开采购方式</w:t>
      </w:r>
    </w:p>
    <w:p>
      <w:pPr>
        <w:adjustRightInd w:val="0"/>
        <w:snapToGrid w:val="0"/>
        <w:spacing w:before="156" w:beforeLines="50" w:after="156" w:afterLines="50" w:line="600" w:lineRule="exact"/>
        <w:ind w:firstLine="2570" w:firstLineChars="800"/>
        <w:rPr>
          <w:rFonts w:hint="eastAsia" w:ascii="黑体" w:hAnsi="黑体" w:eastAsia="黑体" w:cs="黑体"/>
          <w:b/>
          <w:sz w:val="32"/>
          <w:szCs w:val="32"/>
        </w:rPr>
      </w:pPr>
      <w:bookmarkStart w:id="11" w:name="_Toc21373"/>
      <w:bookmarkStart w:id="12" w:name="_Toc9680"/>
      <w:r>
        <w:rPr>
          <w:rFonts w:hint="eastAsia" w:ascii="黑体" w:hAnsi="黑体" w:eastAsia="黑体" w:cs="黑体"/>
          <w:b/>
          <w:sz w:val="32"/>
          <w:szCs w:val="32"/>
        </w:rPr>
        <w:t>采购公告（采购邀请书）</w:t>
      </w:r>
    </w:p>
    <w:bookmarkEnd w:id="11"/>
    <w:bookmarkEnd w:id="12"/>
    <w:p>
      <w:pPr>
        <w:adjustRightInd w:val="0"/>
        <w:snapToGrid w:val="0"/>
        <w:spacing w:line="600" w:lineRule="exact"/>
        <w:ind w:firstLine="560" w:firstLineChars="200"/>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u w:val="single"/>
        </w:rPr>
        <w:t xml:space="preserve">广州市净水有限公司京溪分公司生产区域车辆安全管理监控系统改造项目 </w:t>
      </w:r>
      <w:r>
        <w:rPr>
          <w:rFonts w:hint="eastAsia" w:ascii="仿宋_GB2312" w:hAnsi="仿宋_GB2312" w:eastAsia="仿宋_GB2312" w:cs="仿宋_GB2312"/>
          <w:sz w:val="28"/>
          <w:szCs w:val="28"/>
        </w:rPr>
        <w:t>已具备采购条件，现邀请合格单位参加本</w:t>
      </w:r>
      <w:r>
        <w:rPr>
          <w:rFonts w:hint="eastAsia" w:ascii="仿宋_GB2312" w:hAnsi="仿宋_GB2312" w:eastAsia="仿宋_GB2312" w:cs="仿宋_GB2312"/>
          <w:sz w:val="28"/>
          <w:szCs w:val="28"/>
          <w:u w:val="single"/>
        </w:rPr>
        <w:t xml:space="preserve">□施工 □货物 </w:t>
      </w:r>
      <w:r>
        <w:rPr>
          <w:rFonts w:hint="eastAsia" w:ascii="仿宋_GB2312" w:hAnsi="仿宋_GB2312" w:eastAsia="仿宋_GB2312" w:cs="仿宋_GB2312"/>
          <w:sz w:val="28"/>
          <w:szCs w:val="28"/>
          <w:highlight w:val="none"/>
          <w:u w:val="single"/>
        </w:rPr>
        <w:t>☑服务</w:t>
      </w:r>
      <w:r>
        <w:rPr>
          <w:rFonts w:hint="eastAsia" w:ascii="仿宋_GB2312" w:hAnsi="仿宋_GB2312" w:eastAsia="仿宋_GB2312" w:cs="仿宋_GB2312"/>
          <w:sz w:val="28"/>
          <w:szCs w:val="28"/>
          <w:highlight w:val="none"/>
        </w:rPr>
        <w:t>项目</w:t>
      </w:r>
      <w:r>
        <w:rPr>
          <w:rFonts w:hint="eastAsia" w:ascii="仿宋_GB2312" w:hAnsi="仿宋_GB2312" w:eastAsia="仿宋_GB2312" w:cs="仿宋_GB2312"/>
          <w:sz w:val="28"/>
          <w:szCs w:val="28"/>
        </w:rPr>
        <w:t>采购活动，采用</w:t>
      </w:r>
      <w:r>
        <w:rPr>
          <w:rFonts w:hint="eastAsia" w:ascii="仿宋_GB2312" w:hAnsi="仿宋_GB2312" w:eastAsia="仿宋_GB2312" w:cs="仿宋_GB2312"/>
          <w:sz w:val="28"/>
          <w:szCs w:val="28"/>
          <w:u w:val="single"/>
        </w:rPr>
        <w:t>□邀请采购 ☑公开采购</w:t>
      </w:r>
      <w:r>
        <w:rPr>
          <w:rFonts w:hint="eastAsia" w:ascii="仿宋_GB2312" w:hAnsi="仿宋_GB2312" w:eastAsia="仿宋_GB2312" w:cs="仿宋_GB2312"/>
          <w:sz w:val="28"/>
          <w:szCs w:val="28"/>
        </w:rPr>
        <w:t>的方式邀请合格供应商参加本项目采购活动。</w:t>
      </w:r>
    </w:p>
    <w:p>
      <w:pPr>
        <w:adjustRightInd w:val="0"/>
        <w:snapToGrid w:val="0"/>
        <w:spacing w:line="600" w:lineRule="exact"/>
        <w:jc w:val="left"/>
        <w:rPr>
          <w:rFonts w:hint="eastAsia" w:asciiTheme="minorEastAsia" w:hAnsiTheme="minorEastAsia"/>
          <w:b/>
          <w:sz w:val="32"/>
          <w:szCs w:val="32"/>
        </w:rPr>
      </w:pPr>
      <w:r>
        <w:rPr>
          <w:rFonts w:hint="eastAsia" w:asciiTheme="minorEastAsia" w:hAnsiTheme="minorEastAsia"/>
          <w:b/>
          <w:sz w:val="32"/>
          <w:szCs w:val="32"/>
        </w:rPr>
        <w:t>1.采购项目简介</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1.1采购项目名称：</w:t>
      </w:r>
      <w:r>
        <w:rPr>
          <w:rFonts w:hint="eastAsia" w:ascii="仿宋_GB2312" w:hAnsi="仿宋_GB2312" w:eastAsia="仿宋_GB2312" w:cs="仿宋_GB2312"/>
          <w:sz w:val="28"/>
          <w:szCs w:val="28"/>
          <w:u w:val="single"/>
        </w:rPr>
        <w:t xml:space="preserve">广州市净水有限公司京溪分公司生产区域车辆安全管理监控系统改造项目 </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1.2项目编号：</w:t>
      </w:r>
      <w:r>
        <w:rPr>
          <w:rFonts w:hint="eastAsia" w:ascii="仿宋_GB2312" w:eastAsia="仿宋_GB2312"/>
          <w:sz w:val="28"/>
          <w:szCs w:val="28"/>
          <w:u w:val="single"/>
        </w:rPr>
        <w:t xml:space="preserve">   </w:t>
      </w:r>
      <w:r>
        <w:rPr>
          <w:rFonts w:hint="eastAsia" w:ascii="仿宋_GB2312" w:eastAsia="仿宋_GB2312"/>
          <w:color w:val="C0504D" w:themeColor="accent2"/>
          <w:sz w:val="28"/>
          <w:szCs w:val="28"/>
          <w:u w:val="single"/>
          <w14:textFill>
            <w14:solidFill>
              <w14:schemeClr w14:val="accent2"/>
            </w14:solidFill>
          </w14:textFill>
        </w:rPr>
        <w:t xml:space="preserve"> </w:t>
      </w:r>
      <w:r>
        <w:rPr>
          <w:rFonts w:hint="eastAsia" w:ascii="仿宋_GB2312" w:eastAsia="仿宋_GB2312"/>
          <w:color w:val="000000" w:themeColor="text1"/>
          <w:sz w:val="28"/>
          <w:szCs w:val="28"/>
          <w:highlight w:val="none"/>
          <w:u w:val="single"/>
          <w14:textFill>
            <w14:solidFill>
              <w14:schemeClr w14:val="tx1"/>
            </w14:solidFill>
          </w14:textFill>
        </w:rPr>
        <w:t>14062025X10011</w:t>
      </w:r>
      <w:r>
        <w:rPr>
          <w:rFonts w:hint="eastAsia" w:ascii="仿宋_GB2312" w:eastAsia="仿宋_GB2312"/>
          <w:color w:val="C0504D" w:themeColor="accent2"/>
          <w:sz w:val="28"/>
          <w:szCs w:val="28"/>
          <w:highlight w:val="none"/>
          <w:u w:val="single"/>
          <w14:textFill>
            <w14:solidFill>
              <w14:schemeClr w14:val="accent2"/>
            </w14:solidFill>
          </w14:textFill>
        </w:rPr>
        <w:t xml:space="preserve"> </w:t>
      </w:r>
      <w:r>
        <w:rPr>
          <w:rFonts w:hint="eastAsia" w:ascii="仿宋_GB2312" w:eastAsia="仿宋_GB2312"/>
          <w:color w:val="C0504D" w:themeColor="accent2"/>
          <w:sz w:val="28"/>
          <w:szCs w:val="28"/>
          <w:u w:val="single"/>
          <w14:textFill>
            <w14:solidFill>
              <w14:schemeClr w14:val="accent2"/>
            </w14:solidFill>
          </w14:textFill>
        </w:rPr>
        <w:t xml:space="preserve">    </w:t>
      </w:r>
      <w:r>
        <w:rPr>
          <w:rFonts w:hint="eastAsia" w:ascii="仿宋_GB2312" w:eastAsia="仿宋_GB2312"/>
          <w:sz w:val="28"/>
          <w:szCs w:val="28"/>
          <w:u w:val="single"/>
        </w:rPr>
        <w:t xml:space="preserve">   </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1.3资金来源：</w:t>
      </w:r>
      <w:r>
        <w:rPr>
          <w:rFonts w:hint="eastAsia" w:ascii="仿宋_GB2312" w:eastAsia="仿宋_GB2312"/>
          <w:sz w:val="28"/>
          <w:szCs w:val="28"/>
          <w:u w:val="single"/>
        </w:rPr>
        <w:t>自有资金</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1.4最高限价（元）：</w:t>
      </w:r>
      <w:r>
        <w:rPr>
          <w:rFonts w:hint="eastAsia" w:ascii="仿宋_GB2312" w:eastAsia="仿宋_GB2312"/>
          <w:sz w:val="28"/>
          <w:szCs w:val="28"/>
          <w:u w:val="single"/>
        </w:rPr>
        <w:t xml:space="preserve">  </w:t>
      </w:r>
      <w:r>
        <w:rPr>
          <w:rFonts w:hint="eastAsia" w:ascii="仿宋_GB2312" w:eastAsia="仿宋_GB2312"/>
          <w:sz w:val="28"/>
          <w:szCs w:val="28"/>
          <w:highlight w:val="none"/>
          <w:u w:val="single"/>
        </w:rPr>
        <w:t>¥</w:t>
      </w:r>
      <w:r>
        <w:rPr>
          <w:rFonts w:hint="eastAsia" w:ascii="仿宋_GB2312" w:eastAsia="仿宋_GB2312"/>
          <w:sz w:val="28"/>
          <w:szCs w:val="28"/>
          <w:highlight w:val="none"/>
          <w:u w:val="single"/>
          <w:lang w:val="en-US" w:eastAsia="zh-CN"/>
        </w:rPr>
        <w:t>49000</w:t>
      </w:r>
      <w:r>
        <w:rPr>
          <w:rFonts w:hint="eastAsia" w:ascii="仿宋_GB2312" w:eastAsia="仿宋_GB2312"/>
          <w:sz w:val="28"/>
          <w:szCs w:val="28"/>
          <w:highlight w:val="none"/>
          <w:u w:val="single"/>
        </w:rPr>
        <w:t>.00</w:t>
      </w:r>
      <w:r>
        <w:rPr>
          <w:rFonts w:hint="eastAsia" w:ascii="仿宋_GB2312" w:eastAsia="仿宋_GB2312"/>
          <w:sz w:val="28"/>
          <w:szCs w:val="28"/>
          <w:u w:val="single"/>
        </w:rPr>
        <w:t xml:space="preserve">元，限价含全额增值税专用发票。   </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1.5标段划分：</w:t>
      </w:r>
      <w:r>
        <w:rPr>
          <w:rFonts w:hint="eastAsia" w:ascii="仿宋_GB2312" w:eastAsia="仿宋_GB2312"/>
          <w:sz w:val="28"/>
          <w:szCs w:val="28"/>
          <w:u w:val="single"/>
        </w:rPr>
        <w:t xml:space="preserve">     /     </w:t>
      </w:r>
      <w:r>
        <w:rPr>
          <w:rFonts w:hint="eastAsia" w:ascii="仿宋_GB2312" w:eastAsia="仿宋_GB2312"/>
          <w:sz w:val="28"/>
          <w:szCs w:val="28"/>
        </w:rPr>
        <w:t>。</w:t>
      </w:r>
    </w:p>
    <w:p>
      <w:pPr>
        <w:numPr>
          <w:ilvl w:val="0"/>
          <w:numId w:val="2"/>
        </w:numPr>
        <w:adjustRightInd w:val="0"/>
        <w:snapToGrid w:val="0"/>
        <w:spacing w:line="600" w:lineRule="exact"/>
        <w:jc w:val="left"/>
        <w:rPr>
          <w:rFonts w:hint="eastAsia"/>
        </w:rPr>
      </w:pPr>
      <w:r>
        <w:rPr>
          <w:rFonts w:hint="eastAsia" w:asciiTheme="minorEastAsia" w:hAnsiTheme="minorEastAsia"/>
          <w:b/>
          <w:sz w:val="32"/>
          <w:szCs w:val="32"/>
        </w:rPr>
        <w:t>采购内容和范围</w:t>
      </w:r>
    </w:p>
    <w:p>
      <w:pPr>
        <w:adjustRightInd w:val="0"/>
        <w:snapToGrid w:val="0"/>
        <w:spacing w:line="600" w:lineRule="exact"/>
        <w:jc w:val="left"/>
        <w:rPr>
          <w:rFonts w:hint="eastAsia" w:ascii="仿宋_GB2312" w:eastAsia="仿宋_GB2312"/>
          <w:sz w:val="28"/>
          <w:szCs w:val="28"/>
        </w:rPr>
      </w:pPr>
      <w:r>
        <w:rPr>
          <w:rFonts w:hint="eastAsia" w:ascii="仿宋_GB2312" w:eastAsia="仿宋_GB2312"/>
          <w:sz w:val="28"/>
          <w:szCs w:val="28"/>
        </w:rPr>
        <w:t>2.1采购内容和范围：</w:t>
      </w:r>
    </w:p>
    <w:p>
      <w:pPr>
        <w:pStyle w:val="2"/>
        <w:rPr>
          <w:rFonts w:hint="default" w:eastAsia="仿宋_GB2312"/>
          <w:lang w:val="en-US" w:eastAsia="zh-CN"/>
        </w:rPr>
      </w:pPr>
      <w:r>
        <w:rPr>
          <w:rFonts w:hint="eastAsia" w:ascii="仿宋_GB2312"/>
          <w:sz w:val="28"/>
          <w:szCs w:val="28"/>
          <w:lang w:val="en-US" w:eastAsia="zh-CN"/>
        </w:rPr>
        <w:t xml:space="preserve">  </w:t>
      </w:r>
    </w:p>
    <w:tbl>
      <w:tblPr>
        <w:tblStyle w:val="25"/>
        <w:tblW w:w="5000" w:type="pct"/>
        <w:tblInd w:w="0" w:type="dxa"/>
        <w:tblLayout w:type="fixed"/>
        <w:tblCellMar>
          <w:top w:w="0" w:type="dxa"/>
          <w:left w:w="108" w:type="dxa"/>
          <w:bottom w:w="0" w:type="dxa"/>
          <w:right w:w="108" w:type="dxa"/>
        </w:tblCellMar>
      </w:tblPr>
      <w:tblGrid>
        <w:gridCol w:w="453"/>
        <w:gridCol w:w="1262"/>
        <w:gridCol w:w="1603"/>
        <w:gridCol w:w="4470"/>
        <w:gridCol w:w="465"/>
        <w:gridCol w:w="467"/>
      </w:tblGrid>
      <w:tr>
        <w:tblPrEx>
          <w:tblCellMar>
            <w:top w:w="0" w:type="dxa"/>
            <w:left w:w="108" w:type="dxa"/>
            <w:bottom w:w="0" w:type="dxa"/>
            <w:right w:w="108" w:type="dxa"/>
          </w:tblCellMar>
        </w:tblPrEx>
        <w:trPr>
          <w:trHeight w:val="340" w:hRule="atLeast"/>
        </w:trPr>
        <w:tc>
          <w:tcPr>
            <w:tcW w:w="259" w:type="pct"/>
            <w:tcBorders>
              <w:top w:val="single" w:color="auto" w:sz="12" w:space="0"/>
              <w:left w:val="single" w:color="auto" w:sz="12" w:space="0"/>
              <w:bottom w:val="single" w:color="auto" w:sz="4" w:space="0"/>
              <w:right w:val="single" w:color="auto" w:sz="4" w:space="0"/>
            </w:tcBorders>
            <w:shd w:val="clear" w:color="000000" w:fill="FFFFFF" w:themeFill="background1"/>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序号</w:t>
            </w:r>
          </w:p>
        </w:tc>
        <w:tc>
          <w:tcPr>
            <w:tcW w:w="723" w:type="pct"/>
            <w:tcBorders>
              <w:top w:val="single" w:color="auto" w:sz="12" w:space="0"/>
              <w:left w:val="nil"/>
              <w:bottom w:val="single" w:color="auto" w:sz="4" w:space="0"/>
              <w:right w:val="single" w:color="auto" w:sz="4" w:space="0"/>
            </w:tcBorders>
            <w:shd w:val="clear" w:color="000000" w:fill="FFFFFF" w:themeFill="background1"/>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产品名称</w:t>
            </w:r>
          </w:p>
        </w:tc>
        <w:tc>
          <w:tcPr>
            <w:tcW w:w="919" w:type="pct"/>
            <w:tcBorders>
              <w:top w:val="single" w:color="auto" w:sz="12" w:space="0"/>
              <w:left w:val="nil"/>
              <w:bottom w:val="single" w:color="auto" w:sz="4" w:space="0"/>
              <w:right w:val="single" w:color="auto" w:sz="4" w:space="0"/>
            </w:tcBorders>
            <w:shd w:val="clear" w:color="000000" w:fill="FFFFFF" w:themeFill="background1"/>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产品型号</w:t>
            </w:r>
          </w:p>
        </w:tc>
        <w:tc>
          <w:tcPr>
            <w:tcW w:w="2563" w:type="pct"/>
            <w:tcBorders>
              <w:top w:val="single" w:color="auto" w:sz="12" w:space="0"/>
              <w:left w:val="nil"/>
              <w:bottom w:val="single" w:color="auto" w:sz="4" w:space="0"/>
              <w:right w:val="single" w:color="auto" w:sz="4" w:space="0"/>
            </w:tcBorders>
            <w:shd w:val="clear" w:color="000000" w:fill="FFFFFF" w:themeFill="background1"/>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功能参数</w:t>
            </w:r>
          </w:p>
        </w:tc>
        <w:tc>
          <w:tcPr>
            <w:tcW w:w="266" w:type="pct"/>
            <w:tcBorders>
              <w:top w:val="single" w:color="auto" w:sz="12" w:space="0"/>
              <w:left w:val="nil"/>
              <w:bottom w:val="single" w:color="auto" w:sz="4" w:space="0"/>
              <w:right w:val="single" w:color="auto" w:sz="4" w:space="0"/>
            </w:tcBorders>
            <w:shd w:val="clear" w:color="000000" w:fill="FFFFFF" w:themeFill="background1"/>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数量</w:t>
            </w:r>
          </w:p>
        </w:tc>
        <w:tc>
          <w:tcPr>
            <w:tcW w:w="267" w:type="pct"/>
            <w:tcBorders>
              <w:top w:val="single" w:color="auto" w:sz="12" w:space="0"/>
              <w:left w:val="nil"/>
              <w:bottom w:val="single" w:color="auto" w:sz="4" w:space="0"/>
              <w:right w:val="single" w:color="auto" w:sz="4" w:space="0"/>
            </w:tcBorders>
            <w:shd w:val="clear" w:color="000000" w:fill="FFFFFF" w:themeFill="background1"/>
            <w:noWrap/>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单位</w:t>
            </w:r>
          </w:p>
        </w:tc>
      </w:tr>
      <w:tr>
        <w:tblPrEx>
          <w:tblCellMar>
            <w:top w:w="0" w:type="dxa"/>
            <w:left w:w="108" w:type="dxa"/>
            <w:bottom w:w="0" w:type="dxa"/>
            <w:right w:w="108" w:type="dxa"/>
          </w:tblCellMar>
        </w:tblPrEx>
        <w:trPr>
          <w:trHeight w:val="5220" w:hRule="atLeast"/>
        </w:trPr>
        <w:tc>
          <w:tcPr>
            <w:tcW w:w="259" w:type="pct"/>
            <w:tcBorders>
              <w:top w:val="nil"/>
              <w:left w:val="single" w:color="auto" w:sz="12"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1</w:t>
            </w:r>
          </w:p>
        </w:tc>
        <w:tc>
          <w:tcPr>
            <w:tcW w:w="723" w:type="pct"/>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车型识别系统-低位版</w:t>
            </w:r>
          </w:p>
        </w:tc>
        <w:tc>
          <w:tcPr>
            <w:tcW w:w="919"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p>
        </w:tc>
        <w:tc>
          <w:tcPr>
            <w:tcW w:w="2563" w:type="pct"/>
            <w:tcBorders>
              <w:top w:val="nil"/>
              <w:left w:val="nil"/>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由300万像素车头抓拍、300万像素车尾抓拍、车身扫描摄像机组成；根据JTT-2019行业标准要求，采用深度学习图像识别技术，自动识别客运车辆、货运车辆、专项作业车辆，并根据车长、座位数、轴数等将其识别分类车型识别：识别以下车型：客1、客2、客3、客4、货1、货2、货3、货4、货5、货6。</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参数：车身摄像机:200万像素1/2.8英寸星光级CMOS传感器,1.5mm镜头；</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车头车尾相机：300万像素1/2.8英寸星光级CMOS传感器，6mm镜头；</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有效像素:根据实际车辆拼接图像而定</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最低照度:≤0.01LUX彩色</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网络协议：支持多种网络协议</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视频帧率:120fps@ H.264</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视频压缩标准:H.264 High Profile</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输出码率：64kbps~12Mbps</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 xml:space="preserve"> 码流：1080P</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功耗：≤180W</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供电：AC100~240V，50~60Hz</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工作温度：-40~+60℃</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防护等级：IP66</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含安装调试</w:t>
            </w:r>
          </w:p>
        </w:tc>
        <w:tc>
          <w:tcPr>
            <w:tcW w:w="266" w:type="pct"/>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1</w:t>
            </w:r>
          </w:p>
        </w:tc>
        <w:tc>
          <w:tcPr>
            <w:tcW w:w="267"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台</w:t>
            </w:r>
          </w:p>
        </w:tc>
      </w:tr>
      <w:tr>
        <w:tblPrEx>
          <w:tblCellMar>
            <w:top w:w="0" w:type="dxa"/>
            <w:left w:w="108" w:type="dxa"/>
            <w:bottom w:w="0" w:type="dxa"/>
            <w:right w:w="108" w:type="dxa"/>
          </w:tblCellMar>
        </w:tblPrEx>
        <w:trPr>
          <w:trHeight w:val="6670" w:hRule="atLeast"/>
        </w:trPr>
        <w:tc>
          <w:tcPr>
            <w:tcW w:w="259" w:type="pct"/>
            <w:tcBorders>
              <w:top w:val="nil"/>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2</w:t>
            </w:r>
          </w:p>
        </w:tc>
        <w:tc>
          <w:tcPr>
            <w:tcW w:w="723" w:type="pct"/>
            <w:tcBorders>
              <w:top w:val="nil"/>
              <w:left w:val="nil"/>
              <w:bottom w:val="nil"/>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大车限速管控一体机</w:t>
            </w:r>
          </w:p>
        </w:tc>
        <w:tc>
          <w:tcPr>
            <w:tcW w:w="919"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p>
        </w:tc>
        <w:tc>
          <w:tcPr>
            <w:tcW w:w="2563" w:type="pct"/>
            <w:tcBorders>
              <w:top w:val="nil"/>
              <w:left w:val="nil"/>
              <w:bottom w:val="single" w:color="auto" w:sz="4" w:space="0"/>
              <w:right w:val="single" w:color="auto" w:sz="4" w:space="0"/>
            </w:tcBorders>
            <w:shd w:val="clear" w:color="000000" w:fill="FFFFFF"/>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显示进入生产区车辆的下坡速度、播报来车语音提醒车辆及维修室维护人员。</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模组尺寸：320mm*160mm</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模组分辨率：104X52</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显示颜色：≥43980亿种</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最佳视距：≥3M</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可视角度：水平：≥140°垂直≥140°</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亮度调节：256级软件调节，10级自动调节</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换帧频率：≥60HZ</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刷新频率：≥1920HZ</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控制方式：支持有线、WiFl、3G/4G云播放</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视频信号：NTSC</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屏体寿命：≥100,000小时.</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连续工作时间：＞72小时</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平均无故障时间：＞1,000小时</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屏体重量：≤30KG/㎡</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★有线网络：不少于1 个千兆光口，支持环网、VLAN；不少于1个千兆网口，支持POE++</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 xml:space="preserve">接口：包括单不限1 路 RS485 </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工作温度： -20~65℃</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★广播：功率：30W</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输入电压：~220V  50Hz</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频响：80-16KHz</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r>
              <w:rPr>
                <w:rFonts w:hint="eastAsia" w:ascii="微软雅黑" w:hAnsi="微软雅黑" w:eastAsia="微软雅黑" w:cs="宋体"/>
                <w:color w:val="000000" w:themeColor="text1"/>
                <w:kern w:val="0"/>
                <w:sz w:val="20"/>
                <w:szCs w:val="20"/>
                <w14:textFill>
                  <w14:solidFill>
                    <w14:schemeClr w14:val="tx1"/>
                  </w14:solidFill>
                </w14:textFill>
              </w:rPr>
              <w:t>防护等级：IP66</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含安装调试</w:t>
            </w:r>
          </w:p>
        </w:tc>
        <w:tc>
          <w:tcPr>
            <w:tcW w:w="266"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1</w:t>
            </w:r>
          </w:p>
        </w:tc>
        <w:tc>
          <w:tcPr>
            <w:tcW w:w="267" w:type="pct"/>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台</w:t>
            </w:r>
          </w:p>
        </w:tc>
      </w:tr>
      <w:tr>
        <w:tblPrEx>
          <w:tblCellMar>
            <w:top w:w="0" w:type="dxa"/>
            <w:left w:w="108" w:type="dxa"/>
            <w:bottom w:w="0" w:type="dxa"/>
            <w:right w:w="108" w:type="dxa"/>
          </w:tblCellMar>
        </w:tblPrEx>
        <w:trPr>
          <w:trHeight w:val="8190" w:hRule="atLeast"/>
        </w:trPr>
        <w:tc>
          <w:tcPr>
            <w:tcW w:w="259" w:type="pct"/>
            <w:tcBorders>
              <w:top w:val="nil"/>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3</w:t>
            </w:r>
          </w:p>
        </w:tc>
        <w:tc>
          <w:tcPr>
            <w:tcW w:w="723" w:type="pct"/>
            <w:tcBorders>
              <w:top w:val="single" w:color="auto" w:sz="4" w:space="0"/>
              <w:left w:val="nil"/>
              <w:bottom w:val="nil"/>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单目轻型雷视一体机</w:t>
            </w:r>
          </w:p>
        </w:tc>
        <w:tc>
          <w:tcPr>
            <w:tcW w:w="919"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p>
        </w:tc>
        <w:tc>
          <w:tcPr>
            <w:tcW w:w="2563" w:type="pct"/>
            <w:tcBorders>
              <w:top w:val="nil"/>
              <w:left w:val="nil"/>
              <w:bottom w:val="single" w:color="auto" w:sz="4" w:space="0"/>
              <w:right w:val="single" w:color="auto" w:sz="4" w:space="0"/>
            </w:tcBorders>
            <w:shd w:val="clear" w:color="000000" w:fill="FFFFFF"/>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支持智能识别车辆类型，包括大货车，小货车，中货车，工程车，混凝土泵车，重型运输车，渣土车，消防车，清扫车，排污车，垃圾运输车，油罐车，水泥车，泥头车</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传感器类型 1/1.8 英寸 CMOS</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光圈 F1.0</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低照度 0.001Lux</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内存 2G Byte DDR4</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储存 8G Byte eMMC</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快门方式 电子快门</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电子快门 1/30s～1/30000s（可手动或自动调节）</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曝光模式 自动/手动</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像分辨率 2688×1520（不包含 OSD 黑边）</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视频分辨率 2K（2688×1520）/1080P（1920×1080）</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视频帧率 主码流（3840×2160@25fps）</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视频码率 H.264：</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视频压缩标准 H.264</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视场角 H：43.1°；V：24.7°；D：50.1°</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图片编码格式 JPEG</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宽动态 &gt;100dB</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白平衡 自动；手动</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降噪 2D/3D 降噪</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日夜转换 支持 ICR 切换（可选）</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补光灯 4 颗（暖光灯）</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补光灯色温 3250K</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补光灯亮度调节 亮度可调节</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扩展模块 内置 24G 毫米波雷达</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雷达发射频率 24GHz</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测速范围 0～+200km/h</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测速精度 ±0.5km/h</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测量误差 ±0.4m</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网络接口 1 个 RJ-45 以太网口，支持 10/100/1000M 网络数据传输</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RS-485接口 1 个，连接常亮灯等</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供电方式 AC100V～AC240V（50Hz）</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功耗 ≤12W</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工作温度 -30℃~+75℃</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储存温度 -40℃~+65℃</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工作湿度 10%～90%RH（无凝结）</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储存湿度 10%～90%RH（无凝结）</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产品尺寸 376mm×139mm×164.7mm（长×宽×高）</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安装方式 万向节安装</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镜头 标配10mm</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含安装调试</w:t>
            </w:r>
          </w:p>
        </w:tc>
        <w:tc>
          <w:tcPr>
            <w:tcW w:w="266"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1</w:t>
            </w:r>
          </w:p>
        </w:tc>
        <w:tc>
          <w:tcPr>
            <w:tcW w:w="267" w:type="pct"/>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台</w:t>
            </w:r>
          </w:p>
        </w:tc>
      </w:tr>
      <w:tr>
        <w:tblPrEx>
          <w:tblCellMar>
            <w:top w:w="0" w:type="dxa"/>
            <w:left w:w="108" w:type="dxa"/>
            <w:bottom w:w="0" w:type="dxa"/>
            <w:right w:w="108" w:type="dxa"/>
          </w:tblCellMar>
        </w:tblPrEx>
        <w:trPr>
          <w:trHeight w:val="370" w:hRule="atLeast"/>
        </w:trPr>
        <w:tc>
          <w:tcPr>
            <w:tcW w:w="259" w:type="pct"/>
            <w:tcBorders>
              <w:top w:val="nil"/>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4</w:t>
            </w:r>
          </w:p>
        </w:tc>
        <w:tc>
          <w:tcPr>
            <w:tcW w:w="723"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雷达测速仪</w:t>
            </w:r>
          </w:p>
        </w:tc>
        <w:tc>
          <w:tcPr>
            <w:tcW w:w="919"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p>
        </w:tc>
        <w:tc>
          <w:tcPr>
            <w:tcW w:w="2563" w:type="pct"/>
            <w:tcBorders>
              <w:top w:val="nil"/>
              <w:left w:val="nil"/>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生产区内限速设备</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外形尺寸：1100*600*90mm</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显示屏：数码管、红绿双色显示区域450*390mm</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外壳材质：镀锌钢板+喷塑户外交通黄</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防水等级：IP53</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工作温度：-40-+70°C</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工作电压：AC220V</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可视距离：&gt;100-250米</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工作触发：精确反馈型毫米波雷达</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速度控制：无线遥控5-99Km/h</w:t>
            </w:r>
            <w:r>
              <w:rPr>
                <w:rFonts w:hint="eastAsia" w:ascii="微软雅黑" w:hAnsi="微软雅黑" w:eastAsia="微软雅黑" w:cs="宋体"/>
                <w:color w:val="000000" w:themeColor="text1"/>
                <w:kern w:val="0"/>
                <w:sz w:val="20"/>
                <w:szCs w:val="20"/>
                <w14:textFill>
                  <w14:solidFill>
                    <w14:schemeClr w14:val="tx1"/>
                  </w14:solidFill>
                </w14:textFill>
              </w:rPr>
              <w:br w:type="textWrapping"/>
            </w:r>
            <w:r>
              <w:rPr>
                <w:rFonts w:hint="eastAsia" w:ascii="微软雅黑" w:hAnsi="微软雅黑" w:eastAsia="微软雅黑" w:cs="宋体"/>
                <w:color w:val="000000" w:themeColor="text1"/>
                <w:kern w:val="0"/>
                <w:sz w:val="20"/>
                <w:szCs w:val="20"/>
                <w14:textFill>
                  <w14:solidFill>
                    <w14:schemeClr w14:val="tx1"/>
                  </w14:solidFill>
                </w14:textFill>
              </w:rPr>
              <w:t>含安装调试</w:t>
            </w:r>
          </w:p>
        </w:tc>
        <w:tc>
          <w:tcPr>
            <w:tcW w:w="266"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1</w:t>
            </w:r>
          </w:p>
        </w:tc>
        <w:tc>
          <w:tcPr>
            <w:tcW w:w="267" w:type="pct"/>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台</w:t>
            </w:r>
          </w:p>
        </w:tc>
      </w:tr>
      <w:tr>
        <w:tblPrEx>
          <w:tblCellMar>
            <w:top w:w="0" w:type="dxa"/>
            <w:left w:w="108" w:type="dxa"/>
            <w:bottom w:w="0" w:type="dxa"/>
            <w:right w:w="108" w:type="dxa"/>
          </w:tblCellMar>
        </w:tblPrEx>
        <w:trPr>
          <w:trHeight w:val="2320" w:hRule="atLeast"/>
        </w:trPr>
        <w:tc>
          <w:tcPr>
            <w:tcW w:w="259" w:type="pct"/>
            <w:tcBorders>
              <w:top w:val="nil"/>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5</w:t>
            </w:r>
          </w:p>
        </w:tc>
        <w:tc>
          <w:tcPr>
            <w:tcW w:w="723" w:type="pct"/>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r>
              <w:rPr>
                <w:rFonts w:hint="eastAsia" w:ascii="微软雅黑" w:hAnsi="微软雅黑" w:eastAsia="微软雅黑" w:cs="宋体"/>
                <w:b/>
                <w:bCs/>
                <w:color w:val="000000" w:themeColor="text1"/>
                <w:kern w:val="0"/>
                <w:sz w:val="20"/>
                <w:szCs w:val="20"/>
                <w14:textFill>
                  <w14:solidFill>
                    <w14:schemeClr w14:val="tx1"/>
                  </w14:solidFill>
                </w14:textFill>
              </w:rPr>
              <w:t>雷达测速仪</w:t>
            </w:r>
          </w:p>
        </w:tc>
        <w:tc>
          <w:tcPr>
            <w:tcW w:w="919"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b/>
                <w:bCs/>
                <w:color w:val="000000" w:themeColor="text1"/>
                <w:kern w:val="0"/>
                <w:sz w:val="20"/>
                <w:szCs w:val="20"/>
                <w14:textFill>
                  <w14:solidFill>
                    <w14:schemeClr w14:val="tx1"/>
                  </w14:solidFill>
                </w14:textFill>
              </w:rPr>
            </w:pPr>
          </w:p>
        </w:tc>
        <w:tc>
          <w:tcPr>
            <w:tcW w:w="2563" w:type="pct"/>
            <w:tcBorders>
              <w:top w:val="nil"/>
              <w:left w:val="nil"/>
              <w:bottom w:val="single" w:color="auto" w:sz="4" w:space="0"/>
              <w:right w:val="single" w:color="auto" w:sz="4" w:space="0"/>
            </w:tcBorders>
          </w:tcPr>
          <w:p>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宋体"/>
                <w:color w:val="000000" w:themeColor="text1"/>
                <w:kern w:val="0"/>
                <w:sz w:val="20"/>
                <w:szCs w:val="20"/>
                <w:lang w:eastAsia="zh-CN"/>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生产区内限速设备</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外形尺寸：1100*600*90mm</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显示屏：数码管、红绿双色显示区域450*390mm</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外壳材质：镀锌钢板+喷塑户外交通黄</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防水等级：IP53</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工作温度：-40-+70°C</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工作电压：AC220V</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可视距离：&gt;100-250米</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工作触发：精确反馈型毫米波雷达</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速度控制：无线遥控5-99Km/h</w:t>
            </w:r>
            <w:r>
              <w:rPr>
                <w:rFonts w:hint="eastAsia" w:ascii="微软雅黑" w:hAnsi="微软雅黑" w:eastAsia="微软雅黑" w:cs="宋体"/>
                <w:color w:val="000000" w:themeColor="text1"/>
                <w:kern w:val="0"/>
                <w:sz w:val="20"/>
                <w:szCs w:val="20"/>
                <w14:textFill>
                  <w14:solidFill>
                    <w14:schemeClr w14:val="tx1"/>
                  </w14:solidFill>
                </w14:textFill>
              </w:rPr>
              <w:br w:type="page"/>
            </w:r>
            <w:r>
              <w:rPr>
                <w:rFonts w:hint="eastAsia" w:ascii="微软雅黑" w:hAnsi="微软雅黑" w:eastAsia="微软雅黑" w:cs="宋体"/>
                <w:color w:val="000000" w:themeColor="text1"/>
                <w:kern w:val="0"/>
                <w:sz w:val="20"/>
                <w:szCs w:val="20"/>
                <w14:textFill>
                  <w14:solidFill>
                    <w14:schemeClr w14:val="tx1"/>
                  </w14:solidFill>
                </w14:textFill>
              </w:rPr>
              <w:t>含安装调试</w:t>
            </w:r>
            <w:r>
              <w:rPr>
                <w:rFonts w:hint="eastAsia" w:ascii="微软雅黑" w:hAnsi="微软雅黑" w:eastAsia="微软雅黑" w:cs="宋体"/>
                <w:color w:val="000000" w:themeColor="text1"/>
                <w:kern w:val="0"/>
                <w:sz w:val="20"/>
                <w:szCs w:val="20"/>
                <w:lang w:eastAsia="zh-CN"/>
                <w14:textFill>
                  <w14:solidFill>
                    <w14:schemeClr w14:val="tx1"/>
                  </w14:solidFill>
                </w14:textFill>
              </w:rPr>
              <w:t>。</w:t>
            </w:r>
          </w:p>
        </w:tc>
        <w:tc>
          <w:tcPr>
            <w:tcW w:w="266" w:type="pct"/>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1</w:t>
            </w:r>
          </w:p>
        </w:tc>
        <w:tc>
          <w:tcPr>
            <w:tcW w:w="267" w:type="pct"/>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宋体"/>
                <w:color w:val="000000" w:themeColor="text1"/>
                <w:kern w:val="0"/>
                <w:sz w:val="20"/>
                <w:szCs w:val="20"/>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台</w:t>
            </w:r>
          </w:p>
        </w:tc>
      </w:tr>
    </w:tbl>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本项目确定1家成交供应商，采购人本次采购项目内容京溪分公司生产区域车辆安全管理监控系统</w:t>
      </w:r>
      <w:r>
        <w:rPr>
          <w:rFonts w:hint="eastAsia" w:ascii="仿宋_GB2312" w:eastAsia="仿宋_GB2312"/>
          <w:sz w:val="28"/>
          <w:szCs w:val="28"/>
          <w:lang w:val="en-US" w:eastAsia="zh-CN"/>
        </w:rPr>
        <w:t>改造</w:t>
      </w:r>
      <w:r>
        <w:rPr>
          <w:rFonts w:hint="eastAsia" w:ascii="仿宋_GB2312" w:eastAsia="仿宋_GB2312"/>
          <w:sz w:val="28"/>
          <w:szCs w:val="28"/>
        </w:rPr>
        <w:t>项目的建设工作，本项目总预算金额不超过</w:t>
      </w:r>
      <w:r>
        <w:rPr>
          <w:rFonts w:hint="eastAsia" w:ascii="仿宋_GB2312" w:eastAsia="仿宋_GB2312"/>
          <w:sz w:val="28"/>
          <w:szCs w:val="28"/>
          <w:highlight w:val="none"/>
          <w:lang w:val="en-US" w:eastAsia="zh-CN"/>
        </w:rPr>
        <w:t>49000.00</w:t>
      </w:r>
      <w:r>
        <w:rPr>
          <w:rFonts w:hint="eastAsia" w:ascii="仿宋_GB2312" w:eastAsia="仿宋_GB2312"/>
          <w:sz w:val="28"/>
          <w:szCs w:val="28"/>
        </w:rPr>
        <w:t>元，通过公开询价，确定一家单位</w:t>
      </w:r>
      <w:r>
        <w:rPr>
          <w:rFonts w:hint="eastAsia" w:ascii="仿宋_GB2312" w:eastAsia="仿宋_GB2312"/>
          <w:sz w:val="28"/>
          <w:szCs w:val="28"/>
          <w:lang w:val="en-US" w:eastAsia="zh-CN"/>
        </w:rPr>
        <w:t>完成项目实施</w:t>
      </w:r>
      <w:r>
        <w:rPr>
          <w:rFonts w:hint="eastAsia" w:ascii="仿宋_GB2312" w:eastAsia="仿宋_GB2312"/>
          <w:sz w:val="28"/>
          <w:szCs w:val="28"/>
        </w:rPr>
        <w:t>。报价人应对询价方案进行报价，不允许只对部分询价内容进行报价。</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2.2项目工期：</w:t>
      </w:r>
      <w:r>
        <w:rPr>
          <w:rFonts w:hint="eastAsia" w:ascii="仿宋_GB2312" w:eastAsia="仿宋_GB2312"/>
          <w:sz w:val="28"/>
          <w:szCs w:val="28"/>
        </w:rPr>
        <w:sym w:font="Wingdings 2" w:char="00A3"/>
      </w:r>
      <w:r>
        <w:rPr>
          <w:rFonts w:hint="eastAsia" w:ascii="仿宋_GB2312" w:eastAsia="仿宋_GB2312"/>
          <w:sz w:val="28"/>
          <w:szCs w:val="28"/>
        </w:rPr>
        <w:t xml:space="preserve">计划工期   □交货期  </w:t>
      </w:r>
      <w:r>
        <w:rPr>
          <w:rFonts w:hint="eastAsia" w:ascii="仿宋_GB2312" w:eastAsia="仿宋_GB2312"/>
          <w:sz w:val="28"/>
          <w:szCs w:val="28"/>
          <w:highlight w:val="none"/>
          <w:lang w:eastAsia="zh-CN"/>
        </w:rPr>
        <w:sym w:font="Wingdings 2" w:char="0052"/>
      </w:r>
      <w:r>
        <w:rPr>
          <w:rFonts w:hint="eastAsia" w:ascii="仿宋_GB2312" w:eastAsia="仿宋_GB2312"/>
          <w:sz w:val="28"/>
          <w:szCs w:val="28"/>
          <w:highlight w:val="none"/>
        </w:rPr>
        <w:t>服务期</w:t>
      </w:r>
      <w:r>
        <w:rPr>
          <w:rFonts w:hint="eastAsia" w:ascii="仿宋_GB2312" w:eastAsia="仿宋_GB2312"/>
          <w:sz w:val="28"/>
          <w:szCs w:val="28"/>
        </w:rPr>
        <w:t>为</w:t>
      </w:r>
      <w:r>
        <w:rPr>
          <w:rFonts w:hint="eastAsia" w:ascii="仿宋_GB2312" w:eastAsia="仿宋_GB2312"/>
          <w:sz w:val="28"/>
          <w:szCs w:val="28"/>
          <w:u w:val="single"/>
        </w:rPr>
        <w:t xml:space="preserve">   自合同签订之日起</w:t>
      </w:r>
      <w:r>
        <w:rPr>
          <w:rFonts w:hint="eastAsia" w:ascii="仿宋_GB2312" w:eastAsia="仿宋_GB2312"/>
          <w:sz w:val="28"/>
          <w:szCs w:val="28"/>
          <w:u w:val="single"/>
          <w:lang w:val="en-US" w:eastAsia="zh-CN"/>
        </w:rPr>
        <w:t>45天</w:t>
      </w:r>
      <w:r>
        <w:rPr>
          <w:rFonts w:hint="eastAsia" w:ascii="仿宋_GB2312" w:eastAsia="仿宋_GB2312"/>
          <w:sz w:val="28"/>
          <w:szCs w:val="28"/>
          <w:u w:val="single"/>
        </w:rPr>
        <w:t xml:space="preserve">    </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 xml:space="preserve">2.3地点：□建设地点  □交货地点  </w:t>
      </w:r>
      <w:r>
        <w:rPr>
          <w:rFonts w:hint="eastAsia" w:ascii="仿宋_GB2312" w:eastAsia="仿宋_GB2312"/>
          <w:sz w:val="28"/>
          <w:szCs w:val="28"/>
          <w:highlight w:val="none"/>
        </w:rPr>
        <w:t>☑服务地点</w:t>
      </w:r>
      <w:r>
        <w:rPr>
          <w:rFonts w:hint="eastAsia" w:ascii="仿宋_GB2312" w:eastAsia="仿宋_GB2312"/>
          <w:sz w:val="28"/>
          <w:szCs w:val="28"/>
        </w:rPr>
        <w:t>位于</w:t>
      </w:r>
      <w:r>
        <w:rPr>
          <w:rFonts w:hint="eastAsia" w:ascii="仿宋_GB2312" w:eastAsia="仿宋_GB2312"/>
          <w:sz w:val="28"/>
          <w:szCs w:val="28"/>
          <w:u w:val="single"/>
        </w:rPr>
        <w:t xml:space="preserve">  广州市净水有限公司京溪分公司  </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2.4质量要求：□施工质量要求   □货物质量标准或主要技术性能指标 ☑服务质量要求或服务标准如下：</w:t>
      </w:r>
      <w:r>
        <w:rPr>
          <w:rFonts w:hint="eastAsia" w:ascii="仿宋_GB2312" w:eastAsia="仿宋_GB2312"/>
          <w:sz w:val="28"/>
          <w:szCs w:val="28"/>
          <w:u w:val="single"/>
        </w:rPr>
        <w:t xml:space="preserve">  满足询价文件中所有要求  </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2.5其他：☑安全目标如下：</w:t>
      </w:r>
      <w:r>
        <w:rPr>
          <w:rFonts w:hint="eastAsia" w:ascii="仿宋_GB2312" w:eastAsia="仿宋_GB2312"/>
          <w:sz w:val="28"/>
          <w:szCs w:val="28"/>
          <w:u w:val="single"/>
        </w:rPr>
        <w:t xml:space="preserve">    </w:t>
      </w:r>
      <w:r>
        <w:rPr>
          <w:rFonts w:hint="eastAsia" w:ascii="仿宋_GB2312" w:eastAsia="仿宋_GB2312"/>
          <w:color w:val="auto"/>
          <w:sz w:val="28"/>
          <w:szCs w:val="28"/>
          <w:highlight w:val="none"/>
          <w:u w:val="single"/>
          <w:lang w:val="en-US" w:eastAsia="zh-CN"/>
        </w:rPr>
        <w:t>符合《中华人民共和国安全生产法》相关要求</w:t>
      </w:r>
      <w:r>
        <w:rPr>
          <w:rFonts w:hint="eastAsia" w:ascii="仿宋_GB2312" w:eastAsia="仿宋_GB2312"/>
          <w:color w:val="auto"/>
          <w:sz w:val="28"/>
          <w:szCs w:val="28"/>
          <w:highlight w:val="none"/>
          <w:u w:val="single"/>
        </w:rPr>
        <w:t xml:space="preserve"> </w:t>
      </w:r>
      <w:r>
        <w:rPr>
          <w:rFonts w:hint="eastAsia" w:ascii="仿宋_GB2312" w:eastAsia="仿宋_GB2312"/>
          <w:sz w:val="28"/>
          <w:szCs w:val="28"/>
          <w:u w:val="single"/>
        </w:rPr>
        <w:t xml:space="preserve">   </w:t>
      </w:r>
      <w:r>
        <w:rPr>
          <w:rFonts w:hint="eastAsia" w:ascii="仿宋_GB2312" w:eastAsia="仿宋_GB2312"/>
          <w:sz w:val="28"/>
          <w:szCs w:val="28"/>
        </w:rPr>
        <w:t>。</w:t>
      </w:r>
    </w:p>
    <w:p>
      <w:pPr>
        <w:adjustRightInd w:val="0"/>
        <w:snapToGrid w:val="0"/>
        <w:spacing w:line="600" w:lineRule="exact"/>
        <w:jc w:val="left"/>
        <w:rPr>
          <w:rFonts w:hint="eastAsia" w:asciiTheme="minorEastAsia" w:hAnsiTheme="minorEastAsia"/>
          <w:b/>
          <w:sz w:val="32"/>
          <w:szCs w:val="32"/>
        </w:rPr>
      </w:pPr>
      <w:r>
        <w:rPr>
          <w:rFonts w:hint="eastAsia" w:asciiTheme="minorEastAsia" w:hAnsiTheme="minorEastAsia"/>
          <w:b/>
          <w:sz w:val="32"/>
          <w:szCs w:val="32"/>
        </w:rPr>
        <w:t>3.供应商资格要求（须提供复印件并加盖单位公章）</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3.1参与本项目采购活动的供应商应当依法设立且满足如下要求：</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☑（1）报价单位须是在中华人民共和国境内注册的法人或其他组织，具有独立法人资格，持有事业单位登记管理部门核发的事业单位法人证书或工商行政管理部门核发的企业法人营业执照，且在有效期内。</w:t>
      </w:r>
    </w:p>
    <w:p>
      <w:pPr>
        <w:adjustRightInd w:val="0"/>
        <w:snapToGrid w:val="0"/>
        <w:spacing w:line="600" w:lineRule="exact"/>
        <w:ind w:firstLine="560" w:firstLineChars="200"/>
        <w:jc w:val="left"/>
        <w:rPr>
          <w:rFonts w:ascii="仿宋_GB2312" w:eastAsia="仿宋_GB2312"/>
          <w:sz w:val="28"/>
          <w:szCs w:val="28"/>
          <w:u w:val="single"/>
        </w:rPr>
      </w:pPr>
      <w:r>
        <w:rPr>
          <w:rFonts w:hint="eastAsia" w:ascii="仿宋_GB2312" w:eastAsia="仿宋_GB2312"/>
          <w:sz w:val="28"/>
          <w:szCs w:val="28"/>
        </w:rPr>
        <w:t>□（2）供应商应当具备</w:t>
      </w:r>
      <w:r>
        <w:rPr>
          <w:rFonts w:hint="eastAsia" w:ascii="仿宋_GB2312" w:eastAsia="仿宋_GB2312"/>
          <w:sz w:val="28"/>
          <w:szCs w:val="28"/>
          <w:u w:val="single"/>
        </w:rPr>
        <w:t xml:space="preserve">  /  </w:t>
      </w:r>
      <w:r>
        <w:rPr>
          <w:rFonts w:hint="eastAsia" w:ascii="仿宋_GB2312" w:eastAsia="仿宋_GB2312"/>
          <w:sz w:val="28"/>
          <w:szCs w:val="28"/>
        </w:rPr>
        <w:t>资质。</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☑（3）</w:t>
      </w:r>
      <w:r>
        <w:rPr>
          <w:rFonts w:hint="eastAsia" w:ascii="仿宋_GB2312" w:eastAsia="仿宋_GB2312"/>
          <w:sz w:val="28"/>
          <w:szCs w:val="28"/>
          <w:u w:val="single"/>
        </w:rPr>
        <w:t xml:space="preserve"> 202</w:t>
      </w:r>
      <w:r>
        <w:rPr>
          <w:rFonts w:hint="eastAsia" w:ascii="仿宋_GB2312" w:eastAsia="仿宋_GB2312"/>
          <w:sz w:val="28"/>
          <w:szCs w:val="28"/>
          <w:u w:val="single"/>
          <w:lang w:val="en-US" w:eastAsia="zh-CN"/>
        </w:rPr>
        <w:t>2</w:t>
      </w:r>
      <w:r>
        <w:rPr>
          <w:rFonts w:hint="eastAsia" w:ascii="仿宋_GB2312" w:eastAsia="仿宋_GB2312"/>
          <w:sz w:val="28"/>
          <w:szCs w:val="28"/>
          <w:u w:val="single"/>
        </w:rPr>
        <w:t xml:space="preserve"> </w:t>
      </w:r>
      <w:r>
        <w:rPr>
          <w:rFonts w:hint="eastAsia" w:ascii="仿宋_GB2312" w:eastAsia="仿宋_GB2312"/>
          <w:sz w:val="28"/>
          <w:szCs w:val="28"/>
        </w:rPr>
        <w:t>年1月1日至今，供应商最少具有一项</w:t>
      </w:r>
      <w:r>
        <w:rPr>
          <w:rFonts w:hint="eastAsia" w:ascii="仿宋_GB2312" w:eastAsia="仿宋_GB2312"/>
          <w:sz w:val="28"/>
          <w:szCs w:val="28"/>
          <w:u w:val="single"/>
        </w:rPr>
        <w:t xml:space="preserve">  </w:t>
      </w:r>
      <w:r>
        <w:rPr>
          <w:rFonts w:hint="eastAsia" w:ascii="仿宋_GB2312" w:hAnsi="仿宋_GB2312" w:eastAsia="仿宋_GB2312" w:cs="仿宋_GB2312"/>
          <w:sz w:val="28"/>
          <w:szCs w:val="28"/>
          <w:u w:val="single"/>
        </w:rPr>
        <w:t>监控系统</w:t>
      </w:r>
      <w:r>
        <w:rPr>
          <w:rFonts w:hint="eastAsia" w:ascii="仿宋_GB2312" w:hAnsi="仿宋_GB2312" w:eastAsia="仿宋_GB2312" w:cs="仿宋_GB2312"/>
          <w:sz w:val="28"/>
          <w:szCs w:val="28"/>
          <w:u w:val="single"/>
          <w:lang w:val="en-US" w:eastAsia="zh-CN"/>
        </w:rPr>
        <w:t>改造或相关</w:t>
      </w:r>
      <w:r>
        <w:rPr>
          <w:rFonts w:hint="eastAsia" w:ascii="仿宋_GB2312" w:eastAsia="仿宋_GB2312"/>
          <w:sz w:val="28"/>
          <w:szCs w:val="28"/>
          <w:u w:val="single"/>
        </w:rPr>
        <w:t xml:space="preserve"> </w:t>
      </w:r>
      <w:r>
        <w:rPr>
          <w:rFonts w:hint="eastAsia" w:ascii="仿宋_GB2312" w:eastAsia="仿宋_GB2312"/>
          <w:sz w:val="28"/>
          <w:szCs w:val="28"/>
        </w:rPr>
        <w:t>项目的业绩。（提供合同复印件证明，包括但不限于项目名称、金额及实施内容、合同盖章、签订日期，加盖单位公章）</w:t>
      </w:r>
    </w:p>
    <w:p>
      <w:pPr>
        <w:adjustRightInd w:val="0"/>
        <w:snapToGrid w:val="0"/>
        <w:spacing w:line="600" w:lineRule="exact"/>
        <w:ind w:firstLine="560" w:firstLineChars="200"/>
        <w:jc w:val="left"/>
        <w:rPr>
          <w:rFonts w:ascii="仿宋_GB2312" w:eastAsia="仿宋_GB2312"/>
          <w:sz w:val="28"/>
          <w:szCs w:val="28"/>
          <w:u w:val="single"/>
        </w:rPr>
      </w:pPr>
      <w:r>
        <w:rPr>
          <w:rFonts w:hint="eastAsia" w:ascii="仿宋_GB2312" w:eastAsia="仿宋_GB2312"/>
          <w:sz w:val="28"/>
          <w:szCs w:val="28"/>
        </w:rPr>
        <w:t>☑（4）投入本项目的建设人员数量不得少于3名，且须具备</w:t>
      </w:r>
      <w:r>
        <w:rPr>
          <w:rFonts w:hint="eastAsia" w:ascii="仿宋_GB2312" w:eastAsia="仿宋_GB2312"/>
          <w:sz w:val="28"/>
          <w:szCs w:val="28"/>
          <w:lang w:val="en-US" w:eastAsia="zh-CN"/>
        </w:rPr>
        <w:t>1名持有项目负责人证书（即：</w:t>
      </w:r>
      <w:r>
        <w:rPr>
          <w:rFonts w:hint="eastAsia" w:ascii="仿宋_GB2312" w:eastAsia="仿宋_GB2312"/>
          <w:sz w:val="28"/>
          <w:szCs w:val="28"/>
        </w:rPr>
        <w:t>系统集成项目管理工程师证书</w:t>
      </w:r>
      <w:r>
        <w:rPr>
          <w:rFonts w:hint="eastAsia" w:ascii="仿宋_GB2312" w:eastAsia="仿宋_GB2312"/>
          <w:sz w:val="28"/>
          <w:szCs w:val="28"/>
          <w:lang w:val="en-US" w:eastAsia="zh-CN"/>
        </w:rPr>
        <w:t>）和1名</w:t>
      </w:r>
      <w:r>
        <w:rPr>
          <w:rFonts w:hint="eastAsia" w:ascii="仿宋_GB2312" w:eastAsia="仿宋_GB2312"/>
          <w:sz w:val="28"/>
          <w:szCs w:val="28"/>
        </w:rPr>
        <w:t>相关特种</w:t>
      </w:r>
      <w:r>
        <w:rPr>
          <w:rFonts w:hint="eastAsia" w:ascii="仿宋_GB2312" w:eastAsia="仿宋_GB2312"/>
          <w:sz w:val="28"/>
          <w:szCs w:val="28"/>
          <w:lang w:val="en-US" w:eastAsia="zh-CN"/>
        </w:rPr>
        <w:t>作业人员资格</w:t>
      </w:r>
      <w:r>
        <w:rPr>
          <w:rFonts w:hint="eastAsia" w:ascii="仿宋_GB2312" w:eastAsia="仿宋_GB2312"/>
          <w:sz w:val="28"/>
          <w:szCs w:val="28"/>
        </w:rPr>
        <w:t>证书（</w:t>
      </w:r>
      <w:r>
        <w:rPr>
          <w:rFonts w:hint="eastAsia" w:ascii="仿宋_GB2312" w:eastAsia="仿宋_GB2312"/>
          <w:sz w:val="28"/>
          <w:szCs w:val="28"/>
          <w:lang w:val="en-US" w:eastAsia="zh-CN"/>
        </w:rPr>
        <w:t>即：</w:t>
      </w:r>
      <w:r>
        <w:rPr>
          <w:rFonts w:hint="eastAsia" w:ascii="仿宋_GB2312" w:eastAsia="仿宋_GB2312"/>
          <w:sz w:val="28"/>
          <w:szCs w:val="28"/>
        </w:rPr>
        <w:t>低压电工作业</w:t>
      </w:r>
      <w:r>
        <w:rPr>
          <w:rFonts w:hint="eastAsia" w:ascii="仿宋_GB2312" w:eastAsia="仿宋_GB2312"/>
          <w:sz w:val="28"/>
          <w:szCs w:val="28"/>
          <w:lang w:val="en-US" w:eastAsia="zh-CN"/>
        </w:rPr>
        <w:t>资格</w:t>
      </w:r>
      <w:r>
        <w:rPr>
          <w:rFonts w:hint="eastAsia" w:ascii="仿宋_GB2312" w:eastAsia="仿宋_GB2312"/>
          <w:sz w:val="28"/>
          <w:szCs w:val="28"/>
        </w:rPr>
        <w:t>证书。需提供上述所有证书的资质证明），提供证书复印件并加盖单位公章，原件备查；投入本项目的建设人员须为本单位职工，投标文件中须提供其在本单位连续近3个月交纳社保的缴费证明（缴费证明内容需含缴费起止时间、缴费单位、缴费人员姓名并由社保机构加盖缴费证明专用章，社保机构官网上打印件与线下的盖章件具有同等效力）。</w:t>
      </w:r>
    </w:p>
    <w:p>
      <w:pPr>
        <w:pStyle w:val="24"/>
        <w:spacing w:line="600" w:lineRule="exact"/>
        <w:ind w:firstLine="560" w:firstLineChars="200"/>
        <w:jc w:val="left"/>
        <w:rPr>
          <w:rFonts w:hint="eastAsia" w:ascii="仿宋_GB2312" w:eastAsia="仿宋_GB2312"/>
          <w:color w:val="auto"/>
          <w:sz w:val="28"/>
          <w:szCs w:val="28"/>
        </w:rPr>
      </w:pPr>
      <w:r>
        <w:rPr>
          <w:rFonts w:hint="eastAsia" w:ascii="仿宋_GB2312" w:eastAsia="仿宋_GB2312"/>
          <w:color w:val="auto"/>
          <w:sz w:val="28"/>
          <w:szCs w:val="28"/>
        </w:rPr>
        <w:t>□（5）其他要求：</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3.2供应商在响应文件提交截止日期止不得存在下列情形之一（须出具不得存在情形承诺函）：</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（1）与本项目其他供应商的单位负责人为同一人。</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（2）与本项目其他供应商存在控股或管理关系。</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（3）被本项目所在地省级以上行业主管部门依法暂停、取消投标或禁止参加采购活动且处于有效期内的。</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（4）处于被责令停产停业、暂扣或者吊销执照、暂扣或者吊销许可证、吊销资质证书状态。</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（5）进入清算程序，或被宣告破产，或其他丧失履约能力情形的。</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（6）近三年内因发生质量或安全生产事故等受到行政处罚且在处罚期内的。</w:t>
      </w:r>
      <w:bookmarkStart w:id="123" w:name="_GoBack"/>
      <w:bookmarkEnd w:id="123"/>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（7）被最高人民法院在“信用中国”网站（www.creditchina.gov.cn）或各级信用信息共享平台中列入失信被执行人名单。</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（8）被“全国企业信用信息公示系统”（网址：http://www.gsxt.gov.cn/）</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列入经营异常名录和严重违法企业名单。</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（9）被“信用广州”网站纳入失信被执行人名单（失信黑名单）。</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（10）其他违法违纪行为，经审查认为不宜被邀请参加采购活动的。</w:t>
      </w:r>
    </w:p>
    <w:p>
      <w:pPr>
        <w:adjustRightInd w:val="0"/>
        <w:snapToGrid w:val="0"/>
        <w:spacing w:line="600" w:lineRule="exact"/>
        <w:ind w:firstLine="420" w:firstLineChars="150"/>
        <w:jc w:val="left"/>
        <w:rPr>
          <w:rFonts w:ascii="仿宋_GB2312" w:eastAsia="仿宋_GB2312"/>
          <w:sz w:val="28"/>
          <w:szCs w:val="28"/>
          <w:u w:val="single"/>
        </w:rPr>
      </w:pPr>
      <w:r>
        <w:rPr>
          <w:rFonts w:hint="eastAsia" w:ascii="仿宋_GB2312" w:eastAsia="仿宋_GB2312"/>
          <w:sz w:val="28"/>
          <w:szCs w:val="28"/>
        </w:rPr>
        <w:t>（11）其他禁止情形：</w:t>
      </w:r>
      <w:r>
        <w:rPr>
          <w:rFonts w:hint="eastAsia" w:ascii="仿宋_GB2312" w:eastAsia="仿宋_GB2312"/>
          <w:sz w:val="28"/>
          <w:szCs w:val="28"/>
          <w:u w:val="single"/>
        </w:rPr>
        <w:t xml:space="preserve">    /    </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3.3本次项目</w:t>
      </w:r>
      <w:r>
        <w:rPr>
          <w:rFonts w:hint="eastAsia" w:ascii="仿宋_GB2312" w:eastAsia="仿宋_GB2312"/>
          <w:sz w:val="28"/>
          <w:szCs w:val="28"/>
          <w:u w:val="single"/>
        </w:rPr>
        <w:t>不接受</w:t>
      </w:r>
      <w:r>
        <w:rPr>
          <w:rFonts w:hint="eastAsia" w:ascii="仿宋_GB2312" w:eastAsia="仿宋_GB2312"/>
          <w:sz w:val="28"/>
          <w:szCs w:val="28"/>
        </w:rPr>
        <w:t>联合体参加采购活动</w:t>
      </w:r>
    </w:p>
    <w:p>
      <w:pPr>
        <w:adjustRightInd w:val="0"/>
        <w:snapToGrid w:val="0"/>
        <w:spacing w:line="600" w:lineRule="exact"/>
        <w:jc w:val="left"/>
        <w:rPr>
          <w:rFonts w:hint="eastAsia" w:asciiTheme="minorEastAsia" w:hAnsiTheme="minorEastAsia"/>
          <w:b/>
          <w:sz w:val="32"/>
          <w:szCs w:val="32"/>
        </w:rPr>
      </w:pPr>
      <w:r>
        <w:rPr>
          <w:rFonts w:hint="eastAsia" w:asciiTheme="minorEastAsia" w:hAnsiTheme="minorEastAsia"/>
          <w:b/>
          <w:sz w:val="32"/>
          <w:szCs w:val="32"/>
        </w:rPr>
        <w:t>4.采购文件的获取</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4.1获取时间</w:t>
      </w:r>
    </w:p>
    <w:p>
      <w:pPr>
        <w:adjustRightInd w:val="0"/>
        <w:snapToGrid w:val="0"/>
        <w:spacing w:line="600" w:lineRule="exact"/>
        <w:ind w:firstLine="555"/>
        <w:jc w:val="left"/>
        <w:rPr>
          <w:rFonts w:ascii="仿宋_GB2312" w:eastAsia="仿宋_GB2312"/>
          <w:sz w:val="28"/>
          <w:szCs w:val="28"/>
        </w:rPr>
      </w:pPr>
      <w:r>
        <w:rPr>
          <w:rFonts w:hint="eastAsia" w:ascii="仿宋_GB2312" w:eastAsia="仿宋_GB2312"/>
          <w:sz w:val="28"/>
          <w:szCs w:val="28"/>
        </w:rPr>
        <w:t>从</w:t>
      </w:r>
      <w:r>
        <w:rPr>
          <w:rFonts w:hint="eastAsia" w:ascii="仿宋_GB2312" w:eastAsia="仿宋_GB2312"/>
          <w:sz w:val="28"/>
          <w:szCs w:val="28"/>
          <w:highlight w:val="none"/>
          <w:u w:val="single"/>
        </w:rPr>
        <w:t xml:space="preserve"> 2025  </w:t>
      </w:r>
      <w:r>
        <w:rPr>
          <w:rFonts w:hint="eastAsia" w:ascii="仿宋_GB2312" w:eastAsia="仿宋_GB2312"/>
          <w:sz w:val="28"/>
          <w:szCs w:val="28"/>
          <w:highlight w:val="none"/>
        </w:rPr>
        <w:t>年</w:t>
      </w:r>
      <w:r>
        <w:rPr>
          <w:rFonts w:hint="eastAsia" w:ascii="仿宋_GB2312" w:eastAsia="仿宋_GB2312"/>
          <w:sz w:val="28"/>
          <w:szCs w:val="28"/>
          <w:highlight w:val="none"/>
          <w:u w:val="single"/>
          <w:lang w:val="en-US" w:eastAsia="zh-CN"/>
        </w:rPr>
        <w:t xml:space="preserve"> 11</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月</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21</w:t>
      </w:r>
      <w:r>
        <w:rPr>
          <w:rFonts w:hint="eastAsia" w:ascii="仿宋_GB2312" w:eastAsia="仿宋_GB2312"/>
          <w:sz w:val="28"/>
          <w:szCs w:val="28"/>
          <w:highlight w:val="none"/>
        </w:rPr>
        <w:t>日至</w:t>
      </w:r>
      <w:r>
        <w:rPr>
          <w:rFonts w:hint="eastAsia" w:ascii="仿宋_GB2312" w:eastAsia="仿宋_GB2312"/>
          <w:sz w:val="28"/>
          <w:szCs w:val="28"/>
          <w:highlight w:val="none"/>
          <w:u w:val="single"/>
        </w:rPr>
        <w:t xml:space="preserve"> 2025  </w:t>
      </w:r>
      <w:r>
        <w:rPr>
          <w:rFonts w:hint="eastAsia" w:ascii="仿宋_GB2312" w:eastAsia="仿宋_GB2312"/>
          <w:sz w:val="28"/>
          <w:szCs w:val="28"/>
          <w:highlight w:val="none"/>
        </w:rPr>
        <w:t>年</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11</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月</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26</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日</w:t>
      </w:r>
      <w:r>
        <w:rPr>
          <w:rFonts w:hint="eastAsia" w:ascii="仿宋_GB2312" w:eastAsia="仿宋_GB2312"/>
          <w:sz w:val="28"/>
          <w:szCs w:val="28"/>
        </w:rPr>
        <w:t>（北京时间）</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4.2获取方式</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在</w:t>
      </w:r>
      <w:r>
        <w:rPr>
          <w:rFonts w:hint="eastAsia" w:ascii="仿宋_GB2312" w:eastAsia="仿宋_GB2312"/>
          <w:sz w:val="28"/>
          <w:szCs w:val="28"/>
          <w:u w:val="single"/>
        </w:rPr>
        <w:t>广州市净水有限公司门户网站</w:t>
      </w:r>
      <w:r>
        <w:rPr>
          <w:rFonts w:hint="eastAsia" w:ascii="仿宋_GB2312" w:eastAsia="仿宋_GB2312"/>
          <w:sz w:val="28"/>
          <w:szCs w:val="28"/>
        </w:rPr>
        <w:t>下载采购文件，无需报名。</w:t>
      </w:r>
    </w:p>
    <w:p>
      <w:pPr>
        <w:numPr>
          <w:ilvl w:val="0"/>
          <w:numId w:val="3"/>
        </w:numPr>
        <w:adjustRightInd w:val="0"/>
        <w:snapToGrid w:val="0"/>
        <w:spacing w:line="600" w:lineRule="exact"/>
        <w:jc w:val="left"/>
        <w:rPr>
          <w:rFonts w:hint="eastAsia" w:asciiTheme="minorEastAsia" w:hAnsiTheme="minorEastAsia"/>
          <w:b/>
          <w:sz w:val="32"/>
          <w:szCs w:val="32"/>
        </w:rPr>
      </w:pPr>
      <w:r>
        <w:rPr>
          <w:rFonts w:hint="eastAsia" w:asciiTheme="minorEastAsia" w:hAnsiTheme="minorEastAsia"/>
          <w:b/>
          <w:sz w:val="32"/>
          <w:szCs w:val="32"/>
        </w:rPr>
        <w:t>踏勘现场</w:t>
      </w:r>
    </w:p>
    <w:p>
      <w:pPr>
        <w:adjustRightInd w:val="0"/>
        <w:snapToGrid w:val="0"/>
        <w:spacing w:line="60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sym w:font="Wingdings" w:char="00FE"/>
      </w:r>
      <w:r>
        <w:rPr>
          <w:rFonts w:hint="eastAsia" w:ascii="仿宋_GB2312" w:hAnsi="仿宋_GB2312" w:eastAsia="仿宋_GB2312" w:cs="仿宋_GB2312"/>
          <w:sz w:val="28"/>
          <w:szCs w:val="28"/>
        </w:rPr>
        <w:t>不组织</w:t>
      </w:r>
    </w:p>
    <w:p>
      <w:pPr>
        <w:adjustRightInd w:val="0"/>
        <w:snapToGrid w:val="0"/>
        <w:spacing w:line="600" w:lineRule="exact"/>
        <w:ind w:firstLine="560" w:firstLineChars="200"/>
        <w:rPr>
          <w:rFonts w:hint="eastAsia"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sz w:val="28"/>
          <w:szCs w:val="28"/>
        </w:rPr>
        <w:sym w:font="Wingdings" w:char="00A8"/>
      </w:r>
      <w:r>
        <w:rPr>
          <w:rFonts w:hint="eastAsia" w:ascii="仿宋_GB2312" w:hAnsi="仿宋_GB2312" w:eastAsia="仿宋_GB2312" w:cs="仿宋_GB2312"/>
          <w:sz w:val="28"/>
          <w:szCs w:val="28"/>
        </w:rPr>
        <w:t>组织：</w:t>
      </w:r>
      <w:r>
        <w:rPr>
          <w:rFonts w:hint="eastAsia" w:ascii="仿宋_GB2312" w:hAnsi="仿宋_GB2312" w:eastAsia="仿宋_GB2312" w:cs="仿宋_GB2312"/>
          <w:color w:val="000000" w:themeColor="text1"/>
          <w:sz w:val="28"/>
          <w:szCs w:val="28"/>
          <w14:textFill>
            <w14:solidFill>
              <w14:schemeClr w14:val="tx1"/>
            </w14:solidFill>
          </w14:textFill>
        </w:rPr>
        <w:t>供应商可</w:t>
      </w:r>
      <w:r>
        <w:rPr>
          <w:rFonts w:hint="eastAsia" w:ascii="仿宋_GB2312" w:hAnsi="仿宋_GB2312" w:eastAsia="仿宋_GB2312" w:cs="仿宋_GB2312"/>
          <w:color w:val="000000" w:themeColor="text1"/>
          <w:sz w:val="28"/>
          <w:szCs w:val="28"/>
          <w:lang w:val="zh-CN"/>
          <w14:textFill>
            <w14:solidFill>
              <w14:schemeClr w14:val="tx1"/>
            </w14:solidFill>
          </w14:textFill>
        </w:rPr>
        <w:t>自行</w:t>
      </w:r>
      <w:r>
        <w:rPr>
          <w:rFonts w:hint="eastAsia" w:ascii="仿宋_GB2312" w:hAnsi="仿宋_GB2312" w:eastAsia="仿宋_GB2312" w:cs="仿宋_GB2312"/>
          <w:color w:val="000000" w:themeColor="text1"/>
          <w:sz w:val="28"/>
          <w:szCs w:val="28"/>
          <w14:textFill>
            <w14:solidFill>
              <w14:schemeClr w14:val="tx1"/>
            </w14:solidFill>
          </w14:textFill>
        </w:rPr>
        <w:t>选择是否前往现场踏勘</w:t>
      </w:r>
      <w:r>
        <w:rPr>
          <w:rFonts w:hint="eastAsia" w:ascii="仿宋_GB2312" w:hAnsi="仿宋_GB2312" w:eastAsia="仿宋_GB2312" w:cs="仿宋_GB2312"/>
          <w:color w:val="000000" w:themeColor="text1"/>
          <w:sz w:val="28"/>
          <w:szCs w:val="28"/>
          <w:lang w:val="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若前往现场踏勘须在规定时间内到达集中地点，逾期不再接待</w:t>
      </w:r>
      <w:r>
        <w:rPr>
          <w:rFonts w:hint="eastAsia" w:ascii="仿宋_GB2312" w:hAnsi="仿宋_GB2312" w:eastAsia="仿宋_GB2312" w:cs="仿宋_GB2312"/>
          <w:color w:val="000000" w:themeColor="text1"/>
          <w:sz w:val="28"/>
          <w:szCs w:val="28"/>
          <w:lang w:val="zh-CN"/>
          <w14:textFill>
            <w14:solidFill>
              <w14:schemeClr w14:val="tx1"/>
            </w14:solidFill>
          </w14:textFill>
        </w:rPr>
        <w:t>。</w:t>
      </w:r>
    </w:p>
    <w:p>
      <w:pPr>
        <w:numPr>
          <w:ilvl w:val="0"/>
          <w:numId w:val="3"/>
        </w:numPr>
        <w:adjustRightInd w:val="0"/>
        <w:snapToGrid w:val="0"/>
        <w:spacing w:line="600" w:lineRule="exact"/>
        <w:jc w:val="left"/>
        <w:rPr>
          <w:rFonts w:hint="eastAsia" w:asciiTheme="minorEastAsia" w:hAnsiTheme="minorEastAsia"/>
          <w:b/>
          <w:sz w:val="32"/>
          <w:szCs w:val="32"/>
        </w:rPr>
      </w:pPr>
      <w:r>
        <w:rPr>
          <w:rFonts w:hint="eastAsia" w:asciiTheme="minorEastAsia" w:hAnsiTheme="minorEastAsia"/>
          <w:b/>
          <w:sz w:val="32"/>
          <w:szCs w:val="32"/>
        </w:rPr>
        <w:t>响应文件的递交</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rPr>
        <w:t>6.1递交响应文件集合时间：</w:t>
      </w:r>
      <w:r>
        <w:rPr>
          <w:rFonts w:hint="eastAsia" w:ascii="仿宋_GB2312" w:hAnsi="仿宋_GB2312" w:eastAsia="仿宋_GB2312" w:cs="仿宋_GB2312"/>
          <w:sz w:val="28"/>
          <w:szCs w:val="28"/>
          <w:highlight w:val="none"/>
          <w:u w:val="single"/>
        </w:rPr>
        <w:t xml:space="preserve">  2025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11</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26</w:t>
      </w:r>
      <w:r>
        <w:rPr>
          <w:rFonts w:hint="eastAsia" w:ascii="仿宋_GB2312" w:hAnsi="仿宋_GB2312" w:eastAsia="仿宋_GB2312" w:cs="仿宋_GB2312"/>
          <w:sz w:val="28"/>
          <w:szCs w:val="28"/>
          <w:highlight w:val="none"/>
        </w:rPr>
        <w:t>日</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 xml:space="preserve"> 9</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时</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30</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分</w:t>
      </w:r>
      <w:r>
        <w:rPr>
          <w:rFonts w:hint="eastAsia" w:ascii="仿宋_GB2312" w:eastAsia="仿宋_GB2312"/>
          <w:sz w:val="28"/>
          <w:szCs w:val="28"/>
          <w:highlight w:val="none"/>
        </w:rPr>
        <w:t>至</w:t>
      </w:r>
      <w:r>
        <w:rPr>
          <w:rFonts w:hint="eastAsia" w:ascii="仿宋_GB2312" w:hAnsi="仿宋_GB2312" w:eastAsia="仿宋_GB2312" w:cs="仿宋_GB2312"/>
          <w:sz w:val="28"/>
          <w:szCs w:val="28"/>
          <w:highlight w:val="none"/>
          <w:u w:val="single"/>
        </w:rPr>
        <w:t xml:space="preserve">  2025  </w:t>
      </w:r>
      <w:r>
        <w:rPr>
          <w:rFonts w:hint="eastAsia" w:ascii="仿宋_GB2312" w:hAnsi="仿宋_GB2312" w:eastAsia="仿宋_GB2312" w:cs="仿宋_GB2312"/>
          <w:sz w:val="28"/>
          <w:szCs w:val="28"/>
          <w:highlight w:val="none"/>
        </w:rPr>
        <w:t>年</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11</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月</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26</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日</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10</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时</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lang w:val="en-US" w:eastAsia="zh-CN"/>
        </w:rPr>
        <w:t>00</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分</w:t>
      </w:r>
      <w:r>
        <w:rPr>
          <w:rFonts w:hint="eastAsia" w:ascii="仿宋_GB2312" w:eastAsia="仿宋_GB2312"/>
          <w:sz w:val="28"/>
          <w:szCs w:val="28"/>
          <w:highlight w:val="none"/>
        </w:rPr>
        <w:t>（北京时间）。</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6.2递交响应文件截止时间：</w:t>
      </w:r>
      <w:r>
        <w:rPr>
          <w:rFonts w:hint="eastAsia" w:ascii="仿宋_GB2312" w:eastAsia="仿宋_GB2312"/>
          <w:sz w:val="28"/>
          <w:szCs w:val="28"/>
          <w:highlight w:val="none"/>
          <w:u w:val="single"/>
        </w:rPr>
        <w:t xml:space="preserve"> 2025    </w:t>
      </w:r>
      <w:r>
        <w:rPr>
          <w:rFonts w:hint="eastAsia" w:ascii="仿宋_GB2312" w:eastAsia="仿宋_GB2312"/>
          <w:sz w:val="28"/>
          <w:szCs w:val="28"/>
          <w:highlight w:val="none"/>
        </w:rPr>
        <w:t>年</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11</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月</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26</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日</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10</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时</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00</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分前（北京时间）。</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6.3递交地址：</w:t>
      </w:r>
      <w:r>
        <w:rPr>
          <w:rFonts w:hint="eastAsia" w:ascii="仿宋_GB2312" w:hAnsi="仿宋" w:eastAsia="仿宋_GB2312"/>
          <w:sz w:val="28"/>
          <w:szCs w:val="28"/>
          <w:highlight w:val="none"/>
          <w:u w:val="single"/>
        </w:rPr>
        <w:t>广州市</w:t>
      </w:r>
      <w:r>
        <w:rPr>
          <w:rFonts w:hint="eastAsia" w:ascii="仿宋_GB2312" w:hAnsi="仿宋" w:eastAsia="仿宋_GB2312"/>
          <w:sz w:val="28"/>
          <w:szCs w:val="28"/>
          <w:highlight w:val="none"/>
          <w:u w:val="single"/>
          <w:lang w:val="en-US" w:eastAsia="zh-CN"/>
        </w:rPr>
        <w:t>白云区京溪街道犀牛二马路1号广州市净水有限公司京溪分公司</w:t>
      </w:r>
      <w:r>
        <w:rPr>
          <w:rFonts w:hint="eastAsia" w:ascii="仿宋_GB2312" w:eastAsia="仿宋_GB2312"/>
          <w:sz w:val="28"/>
          <w:szCs w:val="28"/>
        </w:rPr>
        <w:t>。</w:t>
      </w:r>
    </w:p>
    <w:p>
      <w:pPr>
        <w:pStyle w:val="7"/>
        <w:spacing w:after="0" w:line="600" w:lineRule="exact"/>
        <w:ind w:firstLine="560" w:firstLineChars="200"/>
        <w:rPr>
          <w:rFonts w:ascii="仿宋_GB2312" w:eastAsia="仿宋_GB2312" w:hAnsiTheme="minorHAnsi" w:cstheme="minorBidi"/>
          <w:kern w:val="2"/>
          <w:sz w:val="28"/>
          <w:szCs w:val="28"/>
        </w:rPr>
      </w:pPr>
      <w:r>
        <w:rPr>
          <w:rFonts w:hint="eastAsia" w:ascii="仿宋_GB2312" w:eastAsia="仿宋_GB2312" w:hAnsiTheme="minorHAnsi" w:cstheme="minorBidi"/>
          <w:kern w:val="2"/>
          <w:sz w:val="28"/>
          <w:szCs w:val="28"/>
        </w:rPr>
        <w:t>（注：授权委托人须通过“广州净水公司”微信公众号（提前）预约，填写访客预约信息。待被访部室审核员审批通过后，凭访客手机生成的“通行访客码”通行。于门岗处测温并扫码填写调查问卷，手机显示问卷“提交成功”后方可进入。</w:t>
      </w:r>
    </w:p>
    <w:p>
      <w:pPr>
        <w:pStyle w:val="7"/>
        <w:spacing w:after="0" w:line="600" w:lineRule="exact"/>
        <w:ind w:firstLine="560" w:firstLineChars="200"/>
        <w:rPr>
          <w:rFonts w:ascii="仿宋_GB2312" w:eastAsia="仿宋_GB2312" w:hAnsiTheme="minorHAnsi" w:cstheme="minorBidi"/>
          <w:kern w:val="2"/>
          <w:sz w:val="28"/>
          <w:szCs w:val="28"/>
        </w:rPr>
      </w:pPr>
      <w:r>
        <w:rPr>
          <w:rFonts w:hint="eastAsia" w:ascii="仿宋_GB2312" w:eastAsia="仿宋_GB2312" w:hAnsiTheme="minorHAnsi" w:cstheme="minorBidi"/>
          <w:kern w:val="2"/>
          <w:sz w:val="28"/>
          <w:szCs w:val="28"/>
        </w:rPr>
        <w:t>响应文件递交预约信息填写：</w:t>
      </w:r>
    </w:p>
    <w:p>
      <w:pPr>
        <w:pStyle w:val="7"/>
        <w:spacing w:after="0" w:line="600" w:lineRule="exact"/>
        <w:ind w:firstLine="560" w:firstLineChars="200"/>
        <w:rPr>
          <w:rFonts w:ascii="仿宋_GB2312" w:eastAsia="仿宋_GB2312" w:hAnsiTheme="minorHAnsi" w:cstheme="minorBidi"/>
          <w:kern w:val="2"/>
          <w:sz w:val="28"/>
          <w:szCs w:val="28"/>
        </w:rPr>
      </w:pPr>
      <w:r>
        <w:rPr>
          <w:rFonts w:hint="eastAsia" w:ascii="仿宋_GB2312" w:eastAsia="仿宋_GB2312" w:hAnsiTheme="minorHAnsi" w:cstheme="minorBidi"/>
          <w:kern w:val="2"/>
          <w:sz w:val="28"/>
          <w:szCs w:val="28"/>
        </w:rPr>
        <w:t>（1）通过“广州净水公司”微信公众号或来访时扫码进行访客预约登记。</w:t>
      </w:r>
    </w:p>
    <w:p>
      <w:pPr>
        <w:pStyle w:val="7"/>
        <w:spacing w:after="0" w:line="600" w:lineRule="exact"/>
        <w:ind w:firstLine="560" w:firstLineChars="200"/>
        <w:rPr>
          <w:rFonts w:ascii="仿宋_GB2312" w:eastAsia="仿宋_GB2312" w:hAnsiTheme="minorHAnsi" w:cstheme="minorBidi"/>
          <w:kern w:val="2"/>
          <w:sz w:val="28"/>
          <w:szCs w:val="28"/>
        </w:rPr>
      </w:pPr>
      <w:r>
        <w:rPr>
          <w:rFonts w:hint="eastAsia" w:ascii="仿宋_GB2312" w:eastAsia="仿宋_GB2312" w:hAnsiTheme="minorHAnsi" w:cstheme="minorBidi"/>
          <w:kern w:val="2"/>
          <w:sz w:val="28"/>
          <w:szCs w:val="28"/>
        </w:rPr>
        <w:t>（2）“组织”选择“</w:t>
      </w:r>
      <w:r>
        <w:rPr>
          <w:rFonts w:hint="eastAsia" w:ascii="仿宋_GB2312" w:eastAsia="仿宋_GB2312" w:hAnsiTheme="minorHAnsi" w:cstheme="minorBidi"/>
          <w:kern w:val="2"/>
          <w:sz w:val="28"/>
          <w:szCs w:val="28"/>
          <w:lang w:val="en-US" w:eastAsia="zh-CN"/>
        </w:rPr>
        <w:t>京溪分公司</w:t>
      </w:r>
      <w:r>
        <w:rPr>
          <w:rFonts w:hint="eastAsia" w:ascii="仿宋_GB2312" w:eastAsia="仿宋_GB2312" w:hAnsiTheme="minorHAnsi" w:cstheme="minorBidi"/>
          <w:kern w:val="2"/>
          <w:sz w:val="28"/>
          <w:szCs w:val="28"/>
        </w:rPr>
        <w:t>”，“部门”选择“</w:t>
      </w:r>
      <w:r>
        <w:rPr>
          <w:rFonts w:hint="eastAsia" w:ascii="仿宋_GB2312" w:eastAsia="仿宋_GB2312" w:hAnsiTheme="minorHAnsi" w:cstheme="minorBidi"/>
          <w:kern w:val="2"/>
          <w:sz w:val="28"/>
          <w:szCs w:val="28"/>
          <w:lang w:val="en-US" w:eastAsia="zh-CN"/>
        </w:rPr>
        <w:t>生产部</w:t>
      </w:r>
      <w:r>
        <w:rPr>
          <w:rFonts w:hint="eastAsia" w:ascii="仿宋_GB2312" w:eastAsia="仿宋_GB2312" w:hAnsiTheme="minorHAnsi" w:cstheme="minorBidi"/>
          <w:kern w:val="2"/>
          <w:sz w:val="28"/>
          <w:szCs w:val="28"/>
        </w:rPr>
        <w:t>”。</w:t>
      </w:r>
    </w:p>
    <w:p>
      <w:pPr>
        <w:pStyle w:val="7"/>
        <w:spacing w:after="0" w:line="600" w:lineRule="exact"/>
        <w:ind w:firstLine="560" w:firstLineChars="200"/>
        <w:rPr>
          <w:rFonts w:ascii="仿宋_GB2312" w:eastAsia="仿宋_GB2312" w:hAnsiTheme="minorHAnsi" w:cstheme="minorBidi"/>
          <w:kern w:val="2"/>
          <w:sz w:val="28"/>
          <w:szCs w:val="28"/>
        </w:rPr>
      </w:pPr>
      <w:r>
        <w:rPr>
          <w:rFonts w:hint="eastAsia" w:ascii="仿宋_GB2312" w:eastAsia="仿宋_GB2312" w:hAnsiTheme="minorHAnsi" w:cstheme="minorBidi"/>
          <w:kern w:val="2"/>
          <w:sz w:val="28"/>
          <w:szCs w:val="28"/>
        </w:rPr>
        <w:t>（3）“被访人员”选择“</w:t>
      </w:r>
      <w:r>
        <w:rPr>
          <w:rFonts w:hint="eastAsia" w:ascii="仿宋_GB2312" w:eastAsia="仿宋_GB2312" w:hAnsiTheme="minorHAnsi" w:cstheme="minorBidi"/>
          <w:kern w:val="2"/>
          <w:sz w:val="28"/>
          <w:szCs w:val="28"/>
          <w:highlight w:val="none"/>
          <w:lang w:val="en-US" w:eastAsia="zh-CN"/>
        </w:rPr>
        <w:t xml:space="preserve"> </w:t>
      </w:r>
      <w:r>
        <w:rPr>
          <w:rFonts w:hint="eastAsia" w:ascii="仿宋_GB2312" w:eastAsia="仿宋_GB2312" w:hAnsiTheme="minorHAnsi" w:cstheme="minorBidi"/>
          <w:kern w:val="2"/>
          <w:sz w:val="28"/>
          <w:szCs w:val="28"/>
          <w:lang w:val="en-US" w:eastAsia="zh-CN"/>
        </w:rPr>
        <w:t>吴培忠</w:t>
      </w:r>
      <w:r>
        <w:rPr>
          <w:rFonts w:hint="eastAsia" w:ascii="仿宋_GB2312" w:eastAsia="仿宋_GB2312" w:hAnsiTheme="minorHAnsi" w:cstheme="minorBidi"/>
          <w:kern w:val="2"/>
          <w:sz w:val="28"/>
          <w:szCs w:val="28"/>
          <w:highlight w:val="none"/>
          <w:lang w:val="en-US" w:eastAsia="zh-CN"/>
        </w:rPr>
        <w:t xml:space="preserve"> </w:t>
      </w:r>
      <w:r>
        <w:rPr>
          <w:rFonts w:hint="eastAsia" w:ascii="仿宋_GB2312" w:eastAsia="仿宋_GB2312" w:hAnsiTheme="minorHAnsi" w:cstheme="minorBidi"/>
          <w:kern w:val="2"/>
          <w:sz w:val="28"/>
          <w:szCs w:val="28"/>
        </w:rPr>
        <w:t>”，“手机号”：“</w:t>
      </w:r>
      <w:r>
        <w:rPr>
          <w:rFonts w:hint="eastAsia" w:ascii="仿宋_GB2312" w:eastAsia="仿宋_GB2312" w:hAnsiTheme="minorHAnsi" w:cstheme="minorBidi"/>
          <w:kern w:val="2"/>
          <w:sz w:val="28"/>
          <w:szCs w:val="28"/>
          <w:highlight w:val="none"/>
          <w:lang w:val="en-US" w:eastAsia="zh-CN"/>
        </w:rPr>
        <w:t xml:space="preserve"> </w:t>
      </w:r>
      <w:r>
        <w:rPr>
          <w:rFonts w:hint="eastAsia" w:ascii="仿宋_GB2312" w:eastAsia="仿宋_GB2312" w:hAnsiTheme="minorHAnsi" w:cstheme="minorBidi"/>
          <w:kern w:val="2"/>
          <w:sz w:val="28"/>
          <w:szCs w:val="28"/>
          <w:lang w:val="en-US" w:eastAsia="zh-CN"/>
        </w:rPr>
        <w:t>13828471306</w:t>
      </w:r>
      <w:r>
        <w:rPr>
          <w:rFonts w:hint="eastAsia" w:ascii="仿宋_GB2312" w:eastAsia="仿宋_GB2312" w:hAnsiTheme="minorHAnsi" w:cstheme="minorBidi"/>
          <w:kern w:val="2"/>
          <w:sz w:val="28"/>
          <w:szCs w:val="28"/>
          <w:highlight w:val="none"/>
          <w:lang w:val="en-US" w:eastAsia="zh-CN"/>
        </w:rPr>
        <w:t xml:space="preserve"> </w:t>
      </w:r>
      <w:r>
        <w:rPr>
          <w:rFonts w:hint="eastAsia" w:ascii="仿宋_GB2312" w:eastAsia="仿宋_GB2312" w:hAnsiTheme="minorHAnsi" w:cstheme="minorBidi"/>
          <w:kern w:val="2"/>
          <w:sz w:val="28"/>
          <w:szCs w:val="28"/>
        </w:rPr>
        <w:t>”。</w:t>
      </w:r>
    </w:p>
    <w:p>
      <w:pPr>
        <w:pStyle w:val="7"/>
        <w:spacing w:after="0" w:line="600" w:lineRule="exact"/>
        <w:ind w:firstLine="560" w:firstLineChars="200"/>
        <w:rPr>
          <w:rFonts w:ascii="仿宋_GB2312" w:eastAsia="仿宋_GB2312" w:hAnsiTheme="minorHAnsi" w:cstheme="minorBidi"/>
          <w:kern w:val="2"/>
          <w:sz w:val="28"/>
          <w:szCs w:val="28"/>
        </w:rPr>
      </w:pPr>
      <w:r>
        <w:rPr>
          <w:rFonts w:hint="eastAsia" w:ascii="仿宋_GB2312" w:eastAsia="仿宋_GB2312" w:hAnsiTheme="minorHAnsi" w:cstheme="minorBidi"/>
          <w:kern w:val="2"/>
          <w:sz w:val="28"/>
          <w:szCs w:val="28"/>
        </w:rPr>
        <w:t>（4）“详细描述”：</w:t>
      </w:r>
      <w:r>
        <w:rPr>
          <w:rFonts w:hint="eastAsia" w:ascii="仿宋_GB2312" w:eastAsia="仿宋_GB2312" w:hAnsiTheme="minorHAnsi" w:cstheme="minorBidi"/>
          <w:kern w:val="2"/>
          <w:sz w:val="28"/>
          <w:szCs w:val="28"/>
          <w:lang w:val="en-US" w:eastAsia="zh-CN"/>
        </w:rPr>
        <w:t>找XX，</w:t>
      </w:r>
      <w:r>
        <w:rPr>
          <w:rFonts w:hint="eastAsia" w:ascii="仿宋_GB2312" w:eastAsia="仿宋_GB2312" w:hAnsiTheme="minorHAnsi" w:cstheme="minorBidi"/>
          <w:kern w:val="2"/>
          <w:sz w:val="28"/>
          <w:szCs w:val="28"/>
        </w:rPr>
        <w:t>递交京溪分公司生产区域车辆安全管理监控系统改造项目响应文件。</w:t>
      </w:r>
    </w:p>
    <w:p>
      <w:pPr>
        <w:adjustRightInd w:val="0"/>
        <w:snapToGrid w:val="0"/>
        <w:spacing w:line="600" w:lineRule="exact"/>
        <w:jc w:val="left"/>
        <w:rPr>
          <w:rFonts w:hint="eastAsia" w:asciiTheme="minorEastAsia" w:hAnsiTheme="minorEastAsia"/>
          <w:b/>
          <w:sz w:val="32"/>
          <w:szCs w:val="32"/>
        </w:rPr>
      </w:pPr>
      <w:r>
        <w:rPr>
          <w:rFonts w:hint="eastAsia" w:asciiTheme="minorEastAsia" w:hAnsiTheme="minorEastAsia"/>
          <w:b/>
          <w:sz w:val="32"/>
          <w:szCs w:val="32"/>
        </w:rPr>
        <w:t>7.其他</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7.1发布公告的其他媒介</w:t>
      </w:r>
    </w:p>
    <w:p>
      <w:pPr>
        <w:adjustRightInd w:val="0"/>
        <w:snapToGrid w:val="0"/>
        <w:spacing w:line="600" w:lineRule="exact"/>
        <w:ind w:firstLine="555"/>
        <w:rPr>
          <w:rFonts w:ascii="仿宋_GB2312" w:hAnsi="Calibri" w:eastAsia="仿宋_GB2312" w:cs="Times New Roman"/>
          <w:sz w:val="28"/>
          <w:szCs w:val="28"/>
        </w:rPr>
      </w:pPr>
      <w:r>
        <w:rPr>
          <w:rFonts w:hint="eastAsia" w:ascii="仿宋_GB2312" w:eastAsia="仿宋_GB2312"/>
          <w:sz w:val="28"/>
          <w:szCs w:val="28"/>
        </w:rPr>
        <w:t>本项目采购公告（采购邀请书）、公告补充及修改同步在广州净水公司门户网站及阳光平台上发布。</w:t>
      </w:r>
      <w:r>
        <w:rPr>
          <w:rFonts w:hint="eastAsia" w:ascii="仿宋_GB2312" w:hAnsi="Calibri" w:eastAsia="仿宋_GB2312" w:cs="Times New Roman"/>
          <w:sz w:val="28"/>
          <w:szCs w:val="28"/>
        </w:rPr>
        <w:t>本公告在各媒体发布的文本如有不同之处，以广州净水公司门户网站为准。</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7.2响应文件递交注意事项</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（1）逾期送达的、未送达指定地点的响应文件，采购人将予以拒收。</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（2）不按照采购文件要求密封的响应文件，采购人将予以拒收。</w:t>
      </w:r>
    </w:p>
    <w:p>
      <w:pPr>
        <w:widowControl/>
        <w:shd w:val="clear" w:color="auto" w:fill="FFFFFF"/>
        <w:adjustRightInd w:val="0"/>
        <w:snapToGrid w:val="0"/>
        <w:spacing w:line="600" w:lineRule="exact"/>
        <w:rPr>
          <w:rFonts w:hint="eastAsia" w:asciiTheme="minorEastAsia" w:hAnsiTheme="minorEastAsia"/>
          <w:b/>
          <w:sz w:val="32"/>
          <w:szCs w:val="32"/>
        </w:rPr>
      </w:pPr>
      <w:r>
        <w:rPr>
          <w:rFonts w:hint="eastAsia" w:asciiTheme="minorEastAsia" w:hAnsiTheme="minorEastAsia"/>
          <w:b/>
          <w:sz w:val="32"/>
          <w:szCs w:val="32"/>
        </w:rPr>
        <w:t>8</w:t>
      </w:r>
      <w:r>
        <w:rPr>
          <w:rFonts w:asciiTheme="minorEastAsia" w:hAnsiTheme="minorEastAsia"/>
          <w:b/>
          <w:sz w:val="32"/>
          <w:szCs w:val="32"/>
        </w:rPr>
        <w:t>.</w:t>
      </w:r>
      <w:r>
        <w:rPr>
          <w:rFonts w:hint="eastAsia" w:asciiTheme="minorEastAsia" w:hAnsiTheme="minorEastAsia"/>
          <w:b/>
          <w:sz w:val="32"/>
          <w:szCs w:val="32"/>
        </w:rPr>
        <w:t>异议及投诉的受理</w:t>
      </w:r>
    </w:p>
    <w:p>
      <w:pPr>
        <w:widowControl/>
        <w:shd w:val="clear" w:color="auto" w:fill="FFFFFF"/>
        <w:adjustRightInd w:val="0"/>
        <w:snapToGrid w:val="0"/>
        <w:spacing w:line="600" w:lineRule="exact"/>
        <w:ind w:firstLine="560" w:firstLineChars="200"/>
        <w:rPr>
          <w:rFonts w:hint="eastAsia" w:ascii="仿宋_GB2312" w:hAnsi="仿宋" w:eastAsia="仿宋_GB2312"/>
          <w:sz w:val="28"/>
          <w:szCs w:val="28"/>
        </w:rPr>
      </w:pPr>
      <w:r>
        <w:rPr>
          <w:rFonts w:ascii="仿宋_GB2312" w:hAnsi="仿宋" w:eastAsia="仿宋_GB2312"/>
          <w:sz w:val="28"/>
          <w:szCs w:val="28"/>
        </w:rPr>
        <w:t>潜在供应商或利害关系人对本</w:t>
      </w:r>
      <w:r>
        <w:rPr>
          <w:rFonts w:hint="eastAsia" w:ascii="仿宋_GB2312" w:hAnsi="仿宋" w:eastAsia="仿宋_GB2312"/>
          <w:sz w:val="28"/>
          <w:szCs w:val="28"/>
        </w:rPr>
        <w:t>采购</w:t>
      </w:r>
      <w:r>
        <w:rPr>
          <w:rFonts w:ascii="仿宋_GB2312" w:hAnsi="仿宋" w:eastAsia="仿宋_GB2312"/>
          <w:sz w:val="28"/>
          <w:szCs w:val="28"/>
        </w:rPr>
        <w:t>公告及采购文件中任何违法及不公平内容有异议的，可以在提交</w:t>
      </w:r>
      <w:r>
        <w:rPr>
          <w:rFonts w:hint="eastAsia" w:ascii="仿宋_GB2312" w:hAnsi="仿宋" w:eastAsia="仿宋_GB2312"/>
          <w:sz w:val="28"/>
          <w:szCs w:val="28"/>
        </w:rPr>
        <w:t>响应文件截止之日</w:t>
      </w:r>
      <w:r>
        <w:rPr>
          <w:rFonts w:hint="eastAsia" w:ascii="仿宋_GB2312" w:hAnsi="仿宋" w:eastAsia="仿宋_GB2312"/>
          <w:sz w:val="28"/>
          <w:szCs w:val="28"/>
          <w:u w:val="single"/>
        </w:rPr>
        <w:t>2</w:t>
      </w:r>
      <w:r>
        <w:rPr>
          <w:rFonts w:hint="eastAsia" w:ascii="仿宋_GB2312" w:hAnsi="仿宋" w:eastAsia="仿宋_GB2312"/>
          <w:sz w:val="28"/>
          <w:szCs w:val="28"/>
        </w:rPr>
        <w:t>个工作日前</w:t>
      </w:r>
      <w:r>
        <w:rPr>
          <w:rFonts w:ascii="仿宋_GB2312" w:hAnsi="仿宋" w:eastAsia="仿宋_GB2312"/>
          <w:sz w:val="28"/>
          <w:szCs w:val="28"/>
        </w:rPr>
        <w:t>书面提出异议</w:t>
      </w:r>
      <w:r>
        <w:rPr>
          <w:rFonts w:hint="eastAsia" w:ascii="仿宋_GB2312" w:hAnsi="仿宋" w:eastAsia="仿宋_GB2312"/>
          <w:sz w:val="28"/>
          <w:szCs w:val="28"/>
        </w:rPr>
        <w:t>，并由授权人亲自递交至净水公司</w:t>
      </w:r>
      <w:r>
        <w:rPr>
          <w:rFonts w:ascii="仿宋_GB2312" w:hAnsi="仿宋" w:eastAsia="仿宋_GB2312"/>
          <w:sz w:val="28"/>
          <w:szCs w:val="28"/>
        </w:rPr>
        <w:t>。如潜在响应人或其他利害关系人对采购人答复仍持有异议的，可按相关规定进行投诉。</w:t>
      </w:r>
    </w:p>
    <w:p>
      <w:pPr>
        <w:widowControl/>
        <w:shd w:val="clear" w:color="auto" w:fill="FFFFFF"/>
        <w:adjustRightInd w:val="0"/>
        <w:snapToGrid w:val="0"/>
        <w:spacing w:line="600" w:lineRule="exact"/>
        <w:ind w:firstLine="560" w:firstLineChars="200"/>
        <w:rPr>
          <w:rFonts w:hint="eastAsia" w:ascii="仿宋_GB2312" w:hAnsi="仿宋" w:eastAsia="仿宋_GB2312"/>
          <w:sz w:val="28"/>
          <w:szCs w:val="28"/>
        </w:rPr>
      </w:pPr>
      <w:r>
        <w:rPr>
          <w:rFonts w:ascii="仿宋_GB2312" w:hAnsi="仿宋" w:eastAsia="仿宋_GB2312"/>
          <w:sz w:val="28"/>
          <w:szCs w:val="28"/>
        </w:rPr>
        <w:t>异议受理部门：</w:t>
      </w:r>
      <w:r>
        <w:rPr>
          <w:rFonts w:hint="eastAsia" w:ascii="仿宋_GB2312" w:hAnsi="仿宋" w:eastAsia="仿宋_GB2312"/>
          <w:sz w:val="28"/>
          <w:szCs w:val="28"/>
          <w:u w:val="single"/>
        </w:rPr>
        <w:t>广州市净水有限公司</w:t>
      </w:r>
      <w:r>
        <w:rPr>
          <w:rFonts w:hint="eastAsia" w:ascii="仿宋_GB2312" w:hAnsi="仿宋" w:eastAsia="仿宋_GB2312"/>
          <w:sz w:val="28"/>
          <w:szCs w:val="28"/>
          <w:u w:val="single"/>
          <w:lang w:val="en-US" w:eastAsia="zh-CN"/>
        </w:rPr>
        <w:t>京溪分公司</w:t>
      </w:r>
      <w:r>
        <w:rPr>
          <w:rFonts w:ascii="仿宋_GB2312" w:hAnsi="仿宋" w:eastAsia="仿宋_GB2312"/>
          <w:sz w:val="28"/>
          <w:szCs w:val="28"/>
        </w:rPr>
        <w:t>，电话：</w:t>
      </w:r>
      <w:r>
        <w:rPr>
          <w:rFonts w:hint="eastAsia" w:ascii="仿宋_GB2312" w:hAnsi="仿宋" w:eastAsia="仿宋_GB2312"/>
          <w:sz w:val="28"/>
          <w:szCs w:val="28"/>
          <w:highlight w:val="none"/>
          <w:u w:val="single"/>
          <w:lang w:val="en-US" w:eastAsia="zh-CN"/>
        </w:rPr>
        <w:t xml:space="preserve">  </w:t>
      </w:r>
      <w:r>
        <w:rPr>
          <w:rFonts w:hint="eastAsia" w:ascii="仿宋_GB2312" w:hAnsi="仿宋" w:eastAsia="仿宋_GB2312"/>
          <w:sz w:val="28"/>
          <w:szCs w:val="28"/>
          <w:u w:val="single"/>
          <w:lang w:val="en-US" w:eastAsia="zh-CN"/>
        </w:rPr>
        <w:t>020-28082566</w:t>
      </w:r>
      <w:r>
        <w:rPr>
          <w:rFonts w:hint="eastAsia" w:ascii="仿宋_GB2312" w:hAnsi="仿宋" w:eastAsia="仿宋_GB2312"/>
          <w:sz w:val="28"/>
          <w:szCs w:val="28"/>
          <w:highlight w:val="none"/>
          <w:u w:val="single"/>
          <w:lang w:val="en-US" w:eastAsia="zh-CN"/>
        </w:rPr>
        <w:t xml:space="preserve"> </w:t>
      </w:r>
      <w:r>
        <w:rPr>
          <w:rFonts w:ascii="仿宋_GB2312" w:hAnsi="仿宋" w:eastAsia="仿宋_GB2312"/>
          <w:sz w:val="28"/>
          <w:szCs w:val="28"/>
        </w:rPr>
        <w:t>。</w:t>
      </w:r>
    </w:p>
    <w:p>
      <w:pPr>
        <w:widowControl/>
        <w:shd w:val="clear" w:color="auto" w:fill="FFFFFF"/>
        <w:adjustRightInd w:val="0"/>
        <w:snapToGrid w:val="0"/>
        <w:spacing w:line="600" w:lineRule="exact"/>
        <w:ind w:firstLine="560" w:firstLineChars="200"/>
        <w:rPr>
          <w:rFonts w:hint="eastAsia" w:ascii="仿宋_GB2312" w:hAnsi="仿宋" w:eastAsia="仿宋_GB2312"/>
          <w:sz w:val="28"/>
          <w:szCs w:val="28"/>
        </w:rPr>
      </w:pPr>
      <w:r>
        <w:rPr>
          <w:rFonts w:ascii="仿宋_GB2312" w:hAnsi="仿宋" w:eastAsia="仿宋_GB2312"/>
          <w:sz w:val="28"/>
          <w:szCs w:val="28"/>
        </w:rPr>
        <w:t>地址：</w:t>
      </w:r>
      <w:r>
        <w:rPr>
          <w:rFonts w:hint="eastAsia" w:ascii="仿宋_GB2312" w:hAnsi="仿宋" w:eastAsia="仿宋_GB2312"/>
          <w:sz w:val="28"/>
          <w:szCs w:val="28"/>
          <w:highlight w:val="none"/>
          <w:u w:val="single"/>
        </w:rPr>
        <w:t>广州市</w:t>
      </w:r>
      <w:r>
        <w:rPr>
          <w:rFonts w:hint="eastAsia" w:ascii="仿宋_GB2312" w:hAnsi="仿宋" w:eastAsia="仿宋_GB2312"/>
          <w:sz w:val="28"/>
          <w:szCs w:val="28"/>
          <w:highlight w:val="none"/>
          <w:u w:val="single"/>
          <w:lang w:val="en-US" w:eastAsia="zh-CN"/>
        </w:rPr>
        <w:t>白云区京溪街道犀牛二马路1号广州市净水有限公司京溪分公司</w:t>
      </w:r>
      <w:r>
        <w:rPr>
          <w:rFonts w:ascii="仿宋_GB2312" w:hAnsi="仿宋" w:eastAsia="仿宋_GB2312"/>
          <w:sz w:val="28"/>
          <w:szCs w:val="28"/>
        </w:rPr>
        <w:t>。</w:t>
      </w:r>
    </w:p>
    <w:p>
      <w:pPr>
        <w:adjustRightInd w:val="0"/>
        <w:snapToGrid w:val="0"/>
        <w:spacing w:before="156" w:beforeLines="50" w:after="156" w:afterLines="50" w:line="600" w:lineRule="exact"/>
        <w:jc w:val="left"/>
        <w:rPr>
          <w:rFonts w:hint="eastAsia" w:asciiTheme="minorEastAsia" w:hAnsiTheme="minorEastAsia"/>
          <w:b/>
          <w:sz w:val="32"/>
          <w:szCs w:val="32"/>
        </w:rPr>
      </w:pPr>
      <w:r>
        <w:rPr>
          <w:rFonts w:hint="eastAsia" w:asciiTheme="minorEastAsia" w:hAnsiTheme="minorEastAsia"/>
          <w:b/>
          <w:sz w:val="32"/>
          <w:szCs w:val="32"/>
        </w:rPr>
        <w:t>9.联系方式</w:t>
      </w:r>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21" w:type="dxa"/>
          </w:tcPr>
          <w:p>
            <w:pPr>
              <w:adjustRightInd w:val="0"/>
              <w:snapToGrid w:val="0"/>
              <w:spacing w:line="600" w:lineRule="exact"/>
              <w:jc w:val="left"/>
              <w:rPr>
                <w:rFonts w:hint="default" w:ascii="仿宋_GB2312" w:eastAsia="仿宋_GB2312"/>
                <w:sz w:val="28"/>
                <w:szCs w:val="28"/>
                <w:lang w:val="en-US" w:eastAsia="zh-CN"/>
              </w:rPr>
            </w:pPr>
            <w:r>
              <w:rPr>
                <w:rFonts w:ascii="仿宋_GB2312" w:eastAsia="仿宋_GB2312"/>
                <w:sz w:val="28"/>
                <w:szCs w:val="28"/>
              </w:rPr>
              <w:t>采购人</w:t>
            </w:r>
            <w:r>
              <w:rPr>
                <w:rFonts w:hint="eastAsia" w:ascii="仿宋_GB2312" w:eastAsia="仿宋_GB2312"/>
                <w:sz w:val="28"/>
                <w:szCs w:val="28"/>
              </w:rPr>
              <w:t>：广州市净水有限公司</w:t>
            </w:r>
            <w:r>
              <w:rPr>
                <w:rFonts w:hint="eastAsia" w:ascii="仿宋_GB2312" w:eastAsia="仿宋_GB2312"/>
                <w:sz w:val="28"/>
                <w:szCs w:val="28"/>
                <w:lang w:val="en-US" w:eastAsia="zh-CN"/>
              </w:rPr>
              <w:t>京溪分公司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21" w:type="dxa"/>
          </w:tcPr>
          <w:p>
            <w:pPr>
              <w:adjustRightInd w:val="0"/>
              <w:snapToGrid w:val="0"/>
              <w:spacing w:line="600" w:lineRule="exact"/>
              <w:jc w:val="left"/>
              <w:rPr>
                <w:rFonts w:ascii="仿宋_GB2312" w:eastAsia="仿宋_GB2312"/>
                <w:sz w:val="28"/>
                <w:szCs w:val="28"/>
                <w:highlight w:val="none"/>
              </w:rPr>
            </w:pPr>
            <w:r>
              <w:rPr>
                <w:rFonts w:ascii="仿宋_GB2312" w:eastAsia="仿宋_GB2312"/>
                <w:sz w:val="28"/>
                <w:szCs w:val="28"/>
                <w:highlight w:val="none"/>
              </w:rPr>
              <w:t>地</w:t>
            </w:r>
            <w:r>
              <w:rPr>
                <w:rFonts w:hint="eastAsia" w:ascii="仿宋_GB2312" w:eastAsia="仿宋_GB2312"/>
                <w:sz w:val="28"/>
                <w:szCs w:val="28"/>
                <w:highlight w:val="none"/>
              </w:rPr>
              <w:t xml:space="preserve">  </w:t>
            </w:r>
            <w:r>
              <w:rPr>
                <w:rFonts w:ascii="仿宋_GB2312" w:eastAsia="仿宋_GB2312"/>
                <w:sz w:val="28"/>
                <w:szCs w:val="28"/>
                <w:highlight w:val="none"/>
              </w:rPr>
              <w:t>址</w:t>
            </w:r>
            <w:r>
              <w:rPr>
                <w:rFonts w:hint="eastAsia" w:ascii="仿宋_GB2312" w:eastAsia="仿宋_GB2312"/>
                <w:sz w:val="28"/>
                <w:szCs w:val="28"/>
                <w:highlight w:val="none"/>
              </w:rPr>
              <w:t>：</w:t>
            </w:r>
            <w:r>
              <w:rPr>
                <w:rFonts w:hint="eastAsia" w:ascii="仿宋_GB2312" w:hAnsi="仿宋" w:eastAsia="仿宋_GB2312"/>
                <w:sz w:val="28"/>
                <w:szCs w:val="28"/>
                <w:highlight w:val="none"/>
                <w:u w:val="none"/>
              </w:rPr>
              <w:t>广州市</w:t>
            </w:r>
            <w:r>
              <w:rPr>
                <w:rFonts w:hint="eastAsia" w:ascii="仿宋_GB2312" w:hAnsi="仿宋" w:eastAsia="仿宋_GB2312"/>
                <w:sz w:val="28"/>
                <w:szCs w:val="28"/>
                <w:highlight w:val="none"/>
                <w:u w:val="none"/>
                <w:lang w:val="en-US" w:eastAsia="zh-CN"/>
              </w:rPr>
              <w:t>白云区京溪街道犀牛二马路1号广州市净水有限公司京溪分公司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21" w:type="dxa"/>
            <w:vAlign w:val="top"/>
          </w:tcPr>
          <w:p>
            <w:pPr>
              <w:adjustRightInd w:val="0"/>
              <w:snapToGrid w:val="0"/>
              <w:spacing w:line="600" w:lineRule="exact"/>
              <w:jc w:val="left"/>
              <w:rPr>
                <w:rFonts w:ascii="仿宋_GB2312" w:eastAsia="仿宋_GB2312"/>
                <w:sz w:val="28"/>
                <w:szCs w:val="28"/>
                <w:highlight w:val="none"/>
              </w:rPr>
            </w:pPr>
            <w:r>
              <w:rPr>
                <w:rFonts w:ascii="仿宋_GB2312" w:eastAsia="仿宋_GB2312"/>
                <w:sz w:val="28"/>
                <w:szCs w:val="28"/>
              </w:rPr>
              <w:t>联系人</w:t>
            </w:r>
            <w:r>
              <w:rPr>
                <w:rFonts w:hint="eastAsia" w:ascii="仿宋_GB2312" w:eastAsia="仿宋_GB2312"/>
                <w:sz w:val="28"/>
                <w:szCs w:val="28"/>
              </w:rPr>
              <w:t>：</w:t>
            </w:r>
            <w:r>
              <w:rPr>
                <w:rFonts w:hint="eastAsia" w:ascii="仿宋_GB2312" w:eastAsia="仿宋_GB2312"/>
                <w:sz w:val="28"/>
                <w:szCs w:val="28"/>
                <w:lang w:val="en-US" w:eastAsia="zh-CN"/>
              </w:rPr>
              <w:t>吴</w:t>
            </w:r>
            <w:r>
              <w:rPr>
                <w:rFonts w:hint="eastAsia" w:ascii="仿宋_GB2312" w:eastAsia="仿宋_GB2312"/>
                <w:sz w:val="28"/>
                <w:szCs w:val="28"/>
              </w:rPr>
              <w:t>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21" w:type="dxa"/>
            <w:vAlign w:val="top"/>
          </w:tcPr>
          <w:p>
            <w:pPr>
              <w:adjustRightInd w:val="0"/>
              <w:snapToGrid w:val="0"/>
              <w:spacing w:line="600" w:lineRule="exact"/>
              <w:jc w:val="left"/>
              <w:rPr>
                <w:rFonts w:hint="default" w:ascii="仿宋_GB2312" w:eastAsia="仿宋_GB2312"/>
                <w:sz w:val="28"/>
                <w:szCs w:val="28"/>
                <w:highlight w:val="none"/>
                <w:lang w:val="en-US" w:eastAsia="zh-CN"/>
              </w:rPr>
            </w:pPr>
            <w:r>
              <w:rPr>
                <w:rFonts w:ascii="仿宋_GB2312" w:eastAsia="仿宋_GB2312"/>
                <w:sz w:val="28"/>
                <w:szCs w:val="28"/>
              </w:rPr>
              <w:t>电</w:t>
            </w:r>
            <w:r>
              <w:rPr>
                <w:rFonts w:hint="eastAsia" w:ascii="仿宋_GB2312" w:eastAsia="仿宋_GB2312"/>
                <w:sz w:val="28"/>
                <w:szCs w:val="28"/>
              </w:rPr>
              <w:t xml:space="preserve">  </w:t>
            </w:r>
            <w:r>
              <w:rPr>
                <w:rFonts w:ascii="仿宋_GB2312" w:eastAsia="仿宋_GB2312"/>
                <w:sz w:val="28"/>
                <w:szCs w:val="28"/>
              </w:rPr>
              <w:t>话</w:t>
            </w:r>
            <w:r>
              <w:rPr>
                <w:rFonts w:hint="eastAsia" w:ascii="仿宋_GB2312" w:eastAsia="仿宋_GB2312"/>
                <w:sz w:val="28"/>
                <w:szCs w:val="28"/>
              </w:rPr>
              <w:t>：020-</w:t>
            </w:r>
            <w:r>
              <w:rPr>
                <w:rFonts w:hint="eastAsia" w:ascii="仿宋_GB2312" w:eastAsia="仿宋_GB2312"/>
                <w:sz w:val="28"/>
                <w:szCs w:val="28"/>
                <w:lang w:val="en-US" w:eastAsia="zh-CN"/>
              </w:rPr>
              <w:t>28082566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121" w:type="dxa"/>
          </w:tcPr>
          <w:p>
            <w:pPr>
              <w:adjustRightInd w:val="0"/>
              <w:snapToGrid w:val="0"/>
              <w:spacing w:line="600" w:lineRule="exact"/>
              <w:jc w:val="right"/>
              <w:rPr>
                <w:rFonts w:ascii="仿宋_GB2312" w:eastAsia="仿宋_GB2312"/>
                <w:sz w:val="28"/>
                <w:szCs w:val="28"/>
              </w:rPr>
            </w:pP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rPr>
              <w:t>日</w:t>
            </w:r>
          </w:p>
        </w:tc>
      </w:tr>
    </w:tbl>
    <w:p>
      <w:pPr>
        <w:rPr>
          <w:rFonts w:hint="eastAsia" w:ascii="仿宋_GB2312" w:eastAsia="仿宋_GB2312" w:hAnsiTheme="majorEastAsia"/>
          <w:sz w:val="28"/>
          <w:szCs w:val="28"/>
        </w:rPr>
      </w:pPr>
      <w:r>
        <w:rPr>
          <w:rFonts w:hint="eastAsia" w:ascii="仿宋_GB2312" w:eastAsia="仿宋_GB2312" w:hAnsiTheme="majorEastAsia"/>
          <w:sz w:val="28"/>
          <w:szCs w:val="28"/>
        </w:rPr>
        <w:br w:type="page"/>
      </w:r>
    </w:p>
    <w:p>
      <w:pPr>
        <w:pBdr>
          <w:top w:val="double" w:color="auto" w:sz="4" w:space="0"/>
          <w:bottom w:val="double" w:color="auto" w:sz="4" w:space="0"/>
        </w:pBdr>
        <w:spacing w:line="360" w:lineRule="auto"/>
        <w:jc w:val="center"/>
        <w:rPr>
          <w:rFonts w:hint="eastAsia" w:ascii="方正小标宋简体" w:hAnsi="方正小标宋简体" w:eastAsia="方正小标宋简体" w:cs="方正小标宋简体"/>
          <w:sz w:val="44"/>
          <w:szCs w:val="44"/>
        </w:rPr>
      </w:pPr>
      <w:bookmarkStart w:id="13" w:name="_Toc16705"/>
      <w:bookmarkStart w:id="14" w:name="_Toc32588"/>
      <w:bookmarkStart w:id="15" w:name="_Toc25603"/>
      <w:bookmarkStart w:id="16" w:name="_Toc10891"/>
      <w:bookmarkStart w:id="17" w:name="_Toc2331"/>
      <w:bookmarkStart w:id="18" w:name="_Toc7340"/>
      <w:bookmarkStart w:id="19" w:name="_Toc16557"/>
      <w:bookmarkStart w:id="20" w:name="_Toc19295"/>
      <w:bookmarkStart w:id="21" w:name="_Toc9448"/>
      <w:bookmarkStart w:id="22" w:name="_Toc2324"/>
      <w:bookmarkStart w:id="23" w:name="_Toc23749"/>
      <w:r>
        <w:rPr>
          <w:rFonts w:hint="eastAsia" w:ascii="方正小标宋简体" w:hAnsi="方正小标宋简体" w:eastAsia="方正小标宋简体" w:cs="方正小标宋简体"/>
          <w:sz w:val="44"/>
          <w:szCs w:val="44"/>
        </w:rPr>
        <w:t>第二章</w:t>
      </w:r>
    </w:p>
    <w:bookmarkEnd w:id="13"/>
    <w:bookmarkEnd w:id="14"/>
    <w:bookmarkEnd w:id="15"/>
    <w:bookmarkEnd w:id="16"/>
    <w:bookmarkEnd w:id="17"/>
    <w:bookmarkEnd w:id="18"/>
    <w:bookmarkEnd w:id="19"/>
    <w:bookmarkEnd w:id="20"/>
    <w:bookmarkEnd w:id="21"/>
    <w:bookmarkEnd w:id="22"/>
    <w:bookmarkEnd w:id="23"/>
    <w:p>
      <w:pPr>
        <w:spacing w:line="360" w:lineRule="auto"/>
        <w:rPr>
          <w:rFonts w:hint="eastAsia" w:ascii="仿宋_GB2312" w:hAnsi="仿宋_GB2312" w:eastAsia="仿宋_GB2312" w:cs="仿宋_GB2312"/>
          <w:sz w:val="28"/>
          <w:szCs w:val="28"/>
        </w:rPr>
      </w:pPr>
      <w:bookmarkStart w:id="24" w:name="_Toc2339"/>
      <w:bookmarkStart w:id="25" w:name="_Toc3416"/>
    </w:p>
    <w:p>
      <w:pPr>
        <w:pStyle w:val="3"/>
        <w:rPr>
          <w:szCs w:val="40"/>
        </w:rPr>
      </w:pPr>
      <w:r>
        <w:rPr>
          <w:rFonts w:hint="eastAsia"/>
          <w:szCs w:val="40"/>
        </w:rPr>
        <w:t>供应商须知</w:t>
      </w:r>
      <w:bookmarkEnd w:id="24"/>
      <w:bookmarkEnd w:id="25"/>
    </w:p>
    <w:p>
      <w:pPr>
        <w:pStyle w:val="15"/>
        <w:jc w:val="both"/>
        <w:rPr>
          <w:rFonts w:eastAsia="方正小标宋简体"/>
          <w:kern w:val="44"/>
          <w:sz w:val="44"/>
        </w:rPr>
      </w:pPr>
      <w:r>
        <w:br w:type="page"/>
      </w:r>
      <w:r>
        <w:rPr>
          <w:rFonts w:hint="eastAsia"/>
        </w:rPr>
        <w:t>适用于纸质评审的采购项目</w:t>
      </w:r>
    </w:p>
    <w:p>
      <w:pPr>
        <w:adjustRightInd w:val="0"/>
        <w:snapToGrid w:val="0"/>
        <w:spacing w:before="156" w:beforeLines="50" w:after="156" w:afterLines="50" w:line="600" w:lineRule="exact"/>
        <w:ind w:firstLine="2570" w:firstLineChars="800"/>
        <w:rPr>
          <w:rFonts w:hint="eastAsia" w:ascii="黑体" w:hAnsi="黑体" w:eastAsia="黑体" w:cs="黑体"/>
          <w:b/>
          <w:sz w:val="32"/>
          <w:szCs w:val="32"/>
        </w:rPr>
      </w:pPr>
      <w:r>
        <w:rPr>
          <w:rFonts w:hint="eastAsia" w:ascii="黑体" w:hAnsi="黑体" w:eastAsia="黑体" w:cs="黑体"/>
          <w:b/>
          <w:sz w:val="32"/>
          <w:szCs w:val="32"/>
        </w:rPr>
        <w:t>对供应商的资格要求</w:t>
      </w:r>
    </w:p>
    <w:p>
      <w:pPr>
        <w:pStyle w:val="24"/>
        <w:numPr>
          <w:ilvl w:val="255"/>
          <w:numId w:val="0"/>
        </w:numPr>
        <w:adjustRightInd/>
        <w:snapToGrid/>
        <w:spacing w:line="600" w:lineRule="exact"/>
        <w:ind w:firstLine="560" w:firstLineChars="2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详见第一章采购公告（采购邀请书）3.供应商资格要求</w:t>
      </w:r>
    </w:p>
    <w:p>
      <w:pPr>
        <w:numPr>
          <w:ilvl w:val="0"/>
          <w:numId w:val="4"/>
        </w:numPr>
        <w:spacing w:after="156" w:afterLines="50" w:line="600" w:lineRule="exact"/>
        <w:jc w:val="left"/>
        <w:rPr>
          <w:rFonts w:hint="eastAsia" w:ascii="黑体" w:hAnsi="黑体" w:eastAsia="黑体" w:cs="黑体"/>
          <w:b/>
          <w:sz w:val="32"/>
          <w:szCs w:val="32"/>
        </w:rPr>
      </w:pPr>
      <w:r>
        <w:rPr>
          <w:rFonts w:hint="eastAsia" w:ascii="黑体" w:hAnsi="黑体" w:eastAsia="黑体" w:cs="黑体"/>
          <w:b/>
          <w:sz w:val="32"/>
          <w:szCs w:val="32"/>
        </w:rPr>
        <w:t>本次交易一般规则</w:t>
      </w:r>
    </w:p>
    <w:p>
      <w:pPr>
        <w:pStyle w:val="24"/>
        <w:numPr>
          <w:ilvl w:val="255"/>
          <w:numId w:val="0"/>
        </w:numPr>
        <w:spacing w:line="6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表2-1 本次交易一般规则</w:t>
      </w:r>
    </w:p>
    <w:tbl>
      <w:tblPr>
        <w:tblStyle w:val="26"/>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748"/>
        <w:gridCol w:w="1680"/>
        <w:gridCol w:w="5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blHeader/>
        </w:trPr>
        <w:tc>
          <w:tcPr>
            <w:tcW w:w="925" w:type="dxa"/>
            <w:tcBorders>
              <w:left w:val="nil"/>
            </w:tcBorders>
            <w:vAlign w:val="center"/>
          </w:tcPr>
          <w:p>
            <w:pPr>
              <w:adjustRightInd w:val="0"/>
              <w:snapToGrid w:val="0"/>
              <w:jc w:val="center"/>
              <w:rPr>
                <w:rFonts w:ascii="仿宋_GB2312" w:eastAsia="仿宋_GB2312"/>
                <w:b/>
                <w:bCs/>
                <w:sz w:val="24"/>
                <w:szCs w:val="24"/>
              </w:rPr>
            </w:pPr>
            <w:r>
              <w:rPr>
                <w:rFonts w:hint="eastAsia" w:ascii="仿宋_GB2312" w:eastAsia="仿宋_GB2312"/>
                <w:b/>
                <w:bCs/>
                <w:sz w:val="24"/>
                <w:szCs w:val="24"/>
              </w:rPr>
              <w:t>阶段</w:t>
            </w:r>
          </w:p>
        </w:tc>
        <w:tc>
          <w:tcPr>
            <w:tcW w:w="748" w:type="dxa"/>
            <w:vAlign w:val="center"/>
          </w:tcPr>
          <w:p>
            <w:pPr>
              <w:adjustRightInd w:val="0"/>
              <w:snapToGrid w:val="0"/>
              <w:jc w:val="center"/>
              <w:rPr>
                <w:rFonts w:ascii="仿宋_GB2312" w:eastAsia="仿宋_GB2312"/>
                <w:b/>
                <w:bCs/>
                <w:sz w:val="24"/>
                <w:szCs w:val="24"/>
              </w:rPr>
            </w:pPr>
            <w:r>
              <w:rPr>
                <w:rFonts w:ascii="仿宋_GB2312" w:eastAsia="仿宋_GB2312"/>
                <w:b/>
                <w:bCs/>
                <w:sz w:val="24"/>
                <w:szCs w:val="24"/>
              </w:rPr>
              <w:t>条款</w:t>
            </w:r>
          </w:p>
        </w:tc>
        <w:tc>
          <w:tcPr>
            <w:tcW w:w="1680" w:type="dxa"/>
            <w:vAlign w:val="center"/>
          </w:tcPr>
          <w:p>
            <w:pPr>
              <w:adjustRightInd w:val="0"/>
              <w:snapToGrid w:val="0"/>
              <w:jc w:val="center"/>
              <w:rPr>
                <w:rFonts w:ascii="仿宋_GB2312" w:eastAsia="仿宋_GB2312"/>
                <w:b/>
                <w:bCs/>
                <w:sz w:val="24"/>
                <w:szCs w:val="24"/>
              </w:rPr>
            </w:pPr>
            <w:r>
              <w:rPr>
                <w:rFonts w:ascii="仿宋_GB2312" w:eastAsia="仿宋_GB2312"/>
                <w:b/>
                <w:bCs/>
                <w:sz w:val="24"/>
                <w:szCs w:val="24"/>
              </w:rPr>
              <w:t>项目</w:t>
            </w:r>
          </w:p>
        </w:tc>
        <w:tc>
          <w:tcPr>
            <w:tcW w:w="5750" w:type="dxa"/>
            <w:tcBorders>
              <w:right w:val="nil"/>
            </w:tcBorders>
            <w:vAlign w:val="center"/>
          </w:tcPr>
          <w:p>
            <w:pPr>
              <w:adjustRightInd w:val="0"/>
              <w:snapToGrid w:val="0"/>
              <w:jc w:val="center"/>
              <w:rPr>
                <w:rFonts w:ascii="仿宋_GB2312" w:eastAsia="仿宋_GB2312"/>
                <w:b/>
                <w:bCs/>
                <w:sz w:val="24"/>
                <w:szCs w:val="24"/>
              </w:rPr>
            </w:pPr>
            <w:r>
              <w:rPr>
                <w:rFonts w:ascii="仿宋_GB2312" w:eastAsia="仿宋_GB2312"/>
                <w:b/>
                <w:bCs/>
                <w:sz w:val="24"/>
                <w:szCs w:val="24"/>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925" w:type="dxa"/>
            <w:vMerge w:val="restart"/>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准备</w:t>
            </w:r>
          </w:p>
          <w:p>
            <w:pPr>
              <w:adjustRightInd w:val="0"/>
              <w:snapToGrid w:val="0"/>
              <w:jc w:val="center"/>
              <w:rPr>
                <w:rFonts w:ascii="仿宋_GB2312" w:eastAsia="仿宋_GB2312"/>
                <w:sz w:val="24"/>
                <w:szCs w:val="24"/>
              </w:rPr>
            </w:pPr>
            <w:r>
              <w:rPr>
                <w:rFonts w:ascii="仿宋_GB2312" w:eastAsia="仿宋_GB2312"/>
                <w:sz w:val="24"/>
                <w:szCs w:val="24"/>
              </w:rPr>
              <w:t>及其</w:t>
            </w:r>
          </w:p>
          <w:p>
            <w:pPr>
              <w:jc w:val="center"/>
              <w:rPr>
                <w:sz w:val="24"/>
                <w:szCs w:val="24"/>
              </w:rPr>
            </w:pPr>
            <w:r>
              <w:rPr>
                <w:rFonts w:ascii="仿宋_GB2312" w:eastAsia="仿宋_GB2312"/>
                <w:sz w:val="24"/>
                <w:szCs w:val="24"/>
              </w:rPr>
              <w:t>响应</w:t>
            </w: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采购文件组成</w:t>
            </w:r>
          </w:p>
        </w:tc>
        <w:tc>
          <w:tcPr>
            <w:tcW w:w="5750" w:type="dxa"/>
            <w:tcBorders>
              <w:right w:val="nil"/>
            </w:tcBorders>
            <w:vAlign w:val="center"/>
          </w:tcPr>
          <w:p>
            <w:pPr>
              <w:adjustRightInd w:val="0"/>
              <w:snapToGrid w:val="0"/>
              <w:jc w:val="left"/>
              <w:rPr>
                <w:rFonts w:ascii="仿宋_GB2312" w:eastAsia="仿宋_GB2312"/>
                <w:sz w:val="24"/>
                <w:szCs w:val="24"/>
              </w:rPr>
            </w:pPr>
            <w:r>
              <w:rPr>
                <w:rFonts w:hint="eastAsia" w:ascii="仿宋_GB2312" w:eastAsia="仿宋_GB2312" w:hAnsiTheme="minorEastAsia"/>
                <w:sz w:val="24"/>
                <w:szCs w:val="24"/>
              </w:rPr>
              <w:t>（1）采购公告（采购邀请书）</w:t>
            </w:r>
          </w:p>
          <w:p>
            <w:pPr>
              <w:adjustRightInd w:val="0"/>
              <w:snapToGrid w:val="0"/>
              <w:jc w:val="left"/>
              <w:rPr>
                <w:rFonts w:ascii="仿宋_GB2312" w:eastAsia="仿宋_GB2312"/>
                <w:sz w:val="24"/>
                <w:szCs w:val="24"/>
              </w:rPr>
            </w:pPr>
            <w:r>
              <w:rPr>
                <w:rFonts w:hint="eastAsia" w:ascii="仿宋_GB2312" w:eastAsia="仿宋_GB2312"/>
                <w:sz w:val="24"/>
                <w:szCs w:val="24"/>
              </w:rPr>
              <w:t>（2）供应商须知</w:t>
            </w:r>
          </w:p>
          <w:p>
            <w:pPr>
              <w:adjustRightInd w:val="0"/>
              <w:snapToGrid w:val="0"/>
              <w:jc w:val="left"/>
              <w:rPr>
                <w:rFonts w:ascii="仿宋_GB2312" w:eastAsia="仿宋_GB2312"/>
                <w:sz w:val="24"/>
                <w:szCs w:val="24"/>
              </w:rPr>
            </w:pPr>
            <w:r>
              <w:rPr>
                <w:rFonts w:hint="eastAsia" w:ascii="仿宋_GB2312" w:eastAsia="仿宋_GB2312"/>
                <w:sz w:val="24"/>
                <w:szCs w:val="24"/>
              </w:rPr>
              <w:t>（3）采购方式</w:t>
            </w:r>
          </w:p>
          <w:p>
            <w:pPr>
              <w:adjustRightInd w:val="0"/>
              <w:snapToGrid w:val="0"/>
              <w:jc w:val="left"/>
              <w:rPr>
                <w:rFonts w:ascii="仿宋_GB2312" w:eastAsia="仿宋_GB2312"/>
                <w:sz w:val="24"/>
                <w:szCs w:val="24"/>
              </w:rPr>
            </w:pPr>
            <w:r>
              <w:rPr>
                <w:rFonts w:hint="eastAsia" w:ascii="仿宋_GB2312" w:eastAsia="仿宋_GB2312"/>
                <w:sz w:val="24"/>
                <w:szCs w:val="24"/>
              </w:rPr>
              <w:t>（</w:t>
            </w:r>
            <w:r>
              <w:rPr>
                <w:rFonts w:ascii="仿宋_GB2312" w:eastAsia="仿宋_GB2312"/>
                <w:sz w:val="24"/>
                <w:szCs w:val="24"/>
              </w:rPr>
              <w:t>4</w:t>
            </w:r>
            <w:r>
              <w:rPr>
                <w:rFonts w:hint="eastAsia" w:ascii="仿宋_GB2312" w:eastAsia="仿宋_GB2312"/>
                <w:sz w:val="24"/>
                <w:szCs w:val="24"/>
              </w:rPr>
              <w:t>）评审办法</w:t>
            </w:r>
          </w:p>
          <w:p>
            <w:pPr>
              <w:adjustRightInd w:val="0"/>
              <w:snapToGrid w:val="0"/>
              <w:jc w:val="left"/>
              <w:rPr>
                <w:rFonts w:ascii="仿宋_GB2312" w:eastAsia="仿宋_GB2312"/>
                <w:sz w:val="24"/>
                <w:szCs w:val="24"/>
              </w:rPr>
            </w:pPr>
            <w:r>
              <w:rPr>
                <w:rFonts w:hint="eastAsia" w:ascii="仿宋_GB2312" w:eastAsia="仿宋_GB2312"/>
                <w:sz w:val="24"/>
                <w:szCs w:val="24"/>
              </w:rPr>
              <w:t>（5）采购需求</w:t>
            </w:r>
          </w:p>
          <w:p>
            <w:pPr>
              <w:adjustRightInd w:val="0"/>
              <w:snapToGrid w:val="0"/>
              <w:jc w:val="left"/>
              <w:rPr>
                <w:rFonts w:ascii="仿宋_GB2312" w:eastAsia="仿宋_GB2312"/>
                <w:sz w:val="24"/>
                <w:szCs w:val="24"/>
              </w:rPr>
            </w:pPr>
            <w:r>
              <w:rPr>
                <w:rFonts w:hint="eastAsia" w:ascii="仿宋_GB2312" w:eastAsia="仿宋_GB2312"/>
                <w:sz w:val="24"/>
                <w:szCs w:val="24"/>
              </w:rPr>
              <w:t>（6）合同草案</w:t>
            </w:r>
          </w:p>
          <w:p>
            <w:pPr>
              <w:adjustRightInd w:val="0"/>
              <w:snapToGrid w:val="0"/>
              <w:jc w:val="left"/>
              <w:rPr>
                <w:rFonts w:ascii="仿宋_GB2312" w:eastAsia="仿宋_GB2312"/>
                <w:sz w:val="24"/>
                <w:szCs w:val="24"/>
              </w:rPr>
            </w:pPr>
            <w:r>
              <w:rPr>
                <w:rFonts w:hint="eastAsia" w:ascii="仿宋_GB2312" w:eastAsia="仿宋_GB2312"/>
                <w:sz w:val="24"/>
                <w:szCs w:val="24"/>
              </w:rPr>
              <w:t>（7）响应文件</w:t>
            </w:r>
          </w:p>
          <w:p>
            <w:pPr>
              <w:adjustRightInd w:val="0"/>
              <w:snapToGrid w:val="0"/>
              <w:jc w:val="left"/>
              <w:rPr>
                <w:rFonts w:ascii="仿宋_GB2312" w:eastAsia="仿宋_GB2312"/>
                <w:sz w:val="24"/>
                <w:szCs w:val="24"/>
              </w:rPr>
            </w:pPr>
            <w:r>
              <w:rPr>
                <w:rFonts w:hint="eastAsia" w:ascii="仿宋_GB2312" w:eastAsia="仿宋_GB2312"/>
                <w:sz w:val="24"/>
                <w:szCs w:val="24"/>
              </w:rPr>
              <w:t>（8）在采购过程中由采购单位发出的修正和补充文件等（如有）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925" w:type="dxa"/>
            <w:vMerge w:val="continue"/>
            <w:tcBorders>
              <w:left w:val="nil"/>
            </w:tcBorders>
            <w:vAlign w:val="center"/>
          </w:tcPr>
          <w:p>
            <w:pPr>
              <w:jc w:val="center"/>
              <w:rPr>
                <w:rFonts w:ascii="仿宋_GB2312" w:eastAsia="仿宋_GB2312"/>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2.2</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采购文件的澄清和修改</w:t>
            </w:r>
          </w:p>
        </w:tc>
        <w:tc>
          <w:tcPr>
            <w:tcW w:w="5750" w:type="dxa"/>
            <w:tcBorders>
              <w:right w:val="nil"/>
            </w:tcBorders>
            <w:vAlign w:val="center"/>
          </w:tcPr>
          <w:p>
            <w:pPr>
              <w:adjustRightInd w:val="0"/>
              <w:snapToGrid w:val="0"/>
              <w:rPr>
                <w:rFonts w:ascii="仿宋_GB2312" w:eastAsia="仿宋_GB2312"/>
                <w:sz w:val="24"/>
                <w:szCs w:val="24"/>
              </w:rPr>
            </w:pPr>
            <w:r>
              <w:rPr>
                <w:rFonts w:hint="eastAsia" w:ascii="仿宋_GB2312" w:eastAsia="仿宋_GB2312"/>
                <w:sz w:val="24"/>
                <w:szCs w:val="24"/>
              </w:rPr>
              <w:t>1.2.1供应商对采购文件有疑问的，应当</w:t>
            </w:r>
            <w:r>
              <w:rPr>
                <w:rFonts w:ascii="仿宋_GB2312" w:eastAsia="仿宋_GB2312"/>
                <w:sz w:val="24"/>
                <w:szCs w:val="24"/>
              </w:rPr>
              <w:t>在提交</w:t>
            </w:r>
            <w:r>
              <w:rPr>
                <w:rFonts w:hint="eastAsia" w:ascii="仿宋_GB2312" w:eastAsia="仿宋_GB2312"/>
                <w:sz w:val="24"/>
                <w:szCs w:val="24"/>
              </w:rPr>
              <w:t>响应文件截止之日</w:t>
            </w:r>
            <w:r>
              <w:rPr>
                <w:rFonts w:hint="eastAsia" w:ascii="仿宋_GB2312" w:eastAsia="仿宋_GB2312"/>
                <w:sz w:val="24"/>
                <w:szCs w:val="24"/>
                <w:u w:val="single"/>
              </w:rPr>
              <w:t>2</w:t>
            </w:r>
            <w:r>
              <w:rPr>
                <w:rFonts w:ascii="仿宋_GB2312" w:eastAsia="仿宋_GB2312"/>
                <w:sz w:val="24"/>
                <w:szCs w:val="24"/>
              </w:rPr>
              <w:t>个工作日前</w:t>
            </w:r>
            <w:r>
              <w:rPr>
                <w:rFonts w:hint="eastAsia" w:ascii="仿宋_GB2312" w:eastAsia="仿宋_GB2312"/>
                <w:sz w:val="24"/>
                <w:szCs w:val="24"/>
              </w:rPr>
              <w:t>，以书面形式提出。</w:t>
            </w:r>
          </w:p>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1.2.2采购人可根据供应商的要求或主动对采购文件进行澄清和修改。澄清或修改的内容以补充文件形式发布，采购人可视具体情况在补充文件中通知供应商推迟递交响应文件的截止时间。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jc w:val="center"/>
              <w:rPr>
                <w:rFonts w:ascii="仿宋_GB2312" w:eastAsia="仿宋_GB2312"/>
                <w:sz w:val="24"/>
                <w:szCs w:val="24"/>
              </w:rPr>
            </w:pPr>
          </w:p>
        </w:tc>
        <w:tc>
          <w:tcPr>
            <w:tcW w:w="748" w:type="dxa"/>
            <w:vAlign w:val="center"/>
          </w:tcPr>
          <w:p>
            <w:pPr>
              <w:adjustRightInd w:val="0"/>
              <w:snapToGrid w:val="0"/>
              <w:jc w:val="center"/>
              <w:rPr>
                <w:sz w:val="24"/>
                <w:szCs w:val="24"/>
              </w:rPr>
            </w:pPr>
            <w:r>
              <w:rPr>
                <w:rFonts w:hint="eastAsia" w:ascii="仿宋_GB2312" w:eastAsia="仿宋_GB2312"/>
                <w:sz w:val="24"/>
                <w:szCs w:val="24"/>
              </w:rPr>
              <w:t>2.3</w:t>
            </w:r>
          </w:p>
        </w:tc>
        <w:tc>
          <w:tcPr>
            <w:tcW w:w="1680" w:type="dxa"/>
            <w:vAlign w:val="center"/>
          </w:tcPr>
          <w:p>
            <w:pPr>
              <w:adjustRightInd w:val="0"/>
              <w:snapToGrid w:val="0"/>
              <w:jc w:val="center"/>
              <w:rPr>
                <w:rFonts w:hint="eastAsia" w:ascii="仿宋_GB2312" w:eastAsia="仿宋_GB2312" w:hAnsiTheme="minorEastAsia"/>
                <w:sz w:val="24"/>
                <w:szCs w:val="24"/>
              </w:rPr>
            </w:pPr>
            <w:r>
              <w:rPr>
                <w:rFonts w:hint="eastAsia" w:ascii="仿宋_GB2312" w:eastAsia="仿宋_GB2312" w:hAnsiTheme="minorEastAsia"/>
                <w:sz w:val="24"/>
                <w:szCs w:val="24"/>
              </w:rPr>
              <w:t>踏勘现场</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详见采购公告（采购邀请书）5.踏勘现场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jc w:val="center"/>
              <w:rPr>
                <w:rFonts w:ascii="Calibri" w:hAnsi="Calibri" w:eastAsia="宋体" w:cs="Times New Roman"/>
                <w:b/>
                <w:bCs/>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2.4</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分包</w:t>
            </w:r>
          </w:p>
        </w:tc>
        <w:tc>
          <w:tcPr>
            <w:tcW w:w="5750" w:type="dxa"/>
            <w:tcBorders>
              <w:right w:val="nil"/>
            </w:tcBorders>
            <w:vAlign w:val="center"/>
          </w:tcPr>
          <w:p>
            <w:pPr>
              <w:adjustRightInd w:val="0"/>
              <w:snapToGrid w:val="0"/>
              <w:jc w:val="left"/>
              <w:rPr>
                <w:rFonts w:hint="eastAsia" w:ascii="仿宋_GB2312" w:eastAsia="仿宋_GB2312" w:hAnsiTheme="minorEastAsia"/>
                <w:sz w:val="24"/>
                <w:szCs w:val="24"/>
              </w:rPr>
            </w:pPr>
            <w:r>
              <w:rPr>
                <w:rFonts w:hint="eastAsia" w:ascii="仿宋_GB2312" w:eastAsia="仿宋_GB2312" w:hAnsiTheme="minorEastAsia"/>
                <w:sz w:val="24"/>
                <w:szCs w:val="24"/>
              </w:rPr>
              <w:t>本项目</w:t>
            </w:r>
            <w:r>
              <w:rPr>
                <w:rFonts w:hint="eastAsia" w:ascii="仿宋_GB2312" w:eastAsia="仿宋_GB2312"/>
                <w:sz w:val="24"/>
                <w:szCs w:val="24"/>
              </w:rPr>
              <w:t>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jc w:val="center"/>
              <w:rPr>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2.5</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响应截止时间</w:t>
            </w:r>
          </w:p>
        </w:tc>
        <w:tc>
          <w:tcPr>
            <w:tcW w:w="5750" w:type="dxa"/>
            <w:tcBorders>
              <w:right w:val="nil"/>
            </w:tcBorders>
            <w:vAlign w:val="center"/>
          </w:tcPr>
          <w:p>
            <w:pPr>
              <w:adjustRightInd w:val="0"/>
              <w:snapToGrid w:val="0"/>
              <w:jc w:val="left"/>
              <w:rPr>
                <w:rFonts w:hint="eastAsia" w:ascii="仿宋_GB2312" w:eastAsia="仿宋_GB2312" w:hAnsiTheme="minorEastAsia"/>
                <w:sz w:val="24"/>
                <w:szCs w:val="24"/>
              </w:rPr>
            </w:pPr>
            <w:r>
              <w:rPr>
                <w:rFonts w:hint="eastAsia" w:ascii="仿宋_GB2312" w:eastAsia="仿宋_GB2312" w:hAnsiTheme="minorEastAsia"/>
                <w:sz w:val="24"/>
                <w:szCs w:val="24"/>
              </w:rPr>
              <w:t>详见采购公告（采购邀请书）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jc w:val="center"/>
              <w:rPr>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2.6</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最高限价及低价说明</w:t>
            </w:r>
          </w:p>
        </w:tc>
        <w:tc>
          <w:tcPr>
            <w:tcW w:w="5750" w:type="dxa"/>
            <w:tcBorders>
              <w:right w:val="nil"/>
            </w:tcBorders>
            <w:vAlign w:val="center"/>
          </w:tcPr>
          <w:p>
            <w:pPr>
              <w:adjustRightInd w:val="0"/>
              <w:snapToGrid w:val="0"/>
              <w:jc w:val="left"/>
              <w:rPr>
                <w:rFonts w:hint="eastAsia" w:ascii="仿宋_GB2312" w:eastAsia="仿宋_GB2312" w:hAnsiTheme="minorEastAsia"/>
                <w:sz w:val="24"/>
                <w:szCs w:val="24"/>
              </w:rPr>
            </w:pPr>
            <w:r>
              <w:rPr>
                <w:rFonts w:hint="eastAsia" w:ascii="仿宋_GB2312" w:eastAsia="仿宋_GB2312" w:hAnsiTheme="minorEastAsia"/>
                <w:sz w:val="24"/>
                <w:szCs w:val="24"/>
              </w:rPr>
              <w:t>详见采购公告（采购邀请书）；若报价低于本项目最高限价的60%，必须说明报价理由。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jc w:val="center"/>
              <w:rPr>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2.7</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响应文件有效期</w:t>
            </w:r>
          </w:p>
        </w:tc>
        <w:tc>
          <w:tcPr>
            <w:tcW w:w="5750" w:type="dxa"/>
            <w:tcBorders>
              <w:right w:val="nil"/>
            </w:tcBorders>
            <w:vAlign w:val="center"/>
          </w:tcPr>
          <w:p>
            <w:pPr>
              <w:adjustRightInd w:val="0"/>
              <w:snapToGrid w:val="0"/>
              <w:rPr>
                <w:rFonts w:hint="eastAsia" w:ascii="仿宋_GB2312" w:eastAsia="仿宋_GB2312" w:hAnsiTheme="minorEastAsia"/>
                <w:sz w:val="24"/>
                <w:szCs w:val="24"/>
                <w:u w:val="single"/>
              </w:rPr>
            </w:pPr>
            <w:r>
              <w:rPr>
                <w:rFonts w:hint="eastAsia" w:ascii="仿宋_GB2312" w:eastAsia="仿宋_GB2312" w:hAnsiTheme="minorEastAsia"/>
                <w:sz w:val="24"/>
                <w:szCs w:val="24"/>
                <w:u w:val="single"/>
              </w:rPr>
              <w:t>90个</w:t>
            </w:r>
            <w:r>
              <w:rPr>
                <w:rFonts w:hint="eastAsia" w:ascii="仿宋_GB2312" w:eastAsia="仿宋_GB2312" w:hAnsiTheme="minorEastAsia"/>
                <w:sz w:val="24"/>
                <w:szCs w:val="24"/>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restart"/>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准备</w:t>
            </w:r>
          </w:p>
          <w:p>
            <w:pPr>
              <w:adjustRightInd w:val="0"/>
              <w:snapToGrid w:val="0"/>
              <w:jc w:val="center"/>
              <w:rPr>
                <w:rFonts w:ascii="仿宋_GB2312" w:eastAsia="仿宋_GB2312"/>
                <w:sz w:val="24"/>
                <w:szCs w:val="24"/>
              </w:rPr>
            </w:pPr>
            <w:r>
              <w:rPr>
                <w:rFonts w:ascii="仿宋_GB2312" w:eastAsia="仿宋_GB2312"/>
                <w:sz w:val="24"/>
                <w:szCs w:val="24"/>
              </w:rPr>
              <w:t>及其</w:t>
            </w:r>
          </w:p>
          <w:p>
            <w:pPr>
              <w:adjustRightInd w:val="0"/>
              <w:snapToGrid w:val="0"/>
              <w:jc w:val="center"/>
              <w:rPr>
                <w:sz w:val="24"/>
                <w:szCs w:val="24"/>
              </w:rPr>
            </w:pPr>
            <w:r>
              <w:rPr>
                <w:rFonts w:ascii="仿宋_GB2312" w:eastAsia="仿宋_GB2312"/>
                <w:sz w:val="24"/>
                <w:szCs w:val="24"/>
              </w:rPr>
              <w:t>响应</w:t>
            </w: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2.8</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响应文件份数</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 xml:space="preserve">纸质文件正本1份，副本 </w:t>
            </w:r>
            <w:r>
              <w:rPr>
                <w:rFonts w:hint="eastAsia" w:ascii="仿宋_GB2312" w:eastAsia="仿宋_GB2312" w:hAnsiTheme="minorEastAsia"/>
                <w:sz w:val="24"/>
                <w:szCs w:val="24"/>
                <w:u w:val="single"/>
              </w:rPr>
              <w:t>1</w:t>
            </w:r>
            <w:r>
              <w:rPr>
                <w:rFonts w:hint="eastAsia" w:ascii="仿宋_GB2312" w:eastAsia="仿宋_GB2312" w:hAnsiTheme="minorEastAsia"/>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2.9</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响应文件的密封和标记</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要求密封，响应文件应在密封处加盖公章，标注正本和副本，封皮应注明：</w:t>
            </w:r>
          </w:p>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项目名称、供应商名称、供应商地址、联系人及其联系方式。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2.10</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响应文件提交</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见采购公告（采购邀请书）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925" w:type="dxa"/>
            <w:vMerge w:val="restart"/>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文件开启及评审</w:t>
            </w: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2.11</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响应文件开启会议</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举行</w:t>
            </w:r>
          </w:p>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会议时间：同响应截止时间</w:t>
            </w:r>
          </w:p>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会议地点：采购公告（采购邀请书）中指定地点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2.12</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开启文件前的密封检查</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密封情况检查顺序：响应文件拆封前检查，不按照采购文件要求密封的响应文件，采购人将予以拒收。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2.13</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评审小组</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评审小组构成：</w:t>
            </w:r>
            <w:r>
              <w:rPr>
                <w:rFonts w:hint="eastAsia" w:ascii="仿宋_GB2312" w:eastAsia="仿宋_GB2312" w:hAnsiTheme="minorEastAsia"/>
                <w:sz w:val="24"/>
                <w:szCs w:val="24"/>
                <w:u w:val="single"/>
              </w:rPr>
              <w:t>3</w:t>
            </w:r>
            <w:r>
              <w:rPr>
                <w:rFonts w:hint="eastAsia" w:ascii="仿宋_GB2312" w:eastAsia="仿宋_GB2312" w:hAnsiTheme="minorEastAsia"/>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2.14</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评审办法</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见第四章评审办法有关条款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2.15</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成交候选人</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在</w:t>
            </w:r>
            <w:r>
              <w:rPr>
                <w:rFonts w:hint="eastAsia" w:ascii="仿宋_GB2312" w:eastAsia="仿宋_GB2312" w:hAnsiTheme="minorEastAsia"/>
                <w:sz w:val="24"/>
                <w:szCs w:val="24"/>
                <w:u w:val="single"/>
              </w:rPr>
              <w:t>广州市净水有限公司门户网站</w:t>
            </w:r>
            <w:r>
              <w:rPr>
                <w:rFonts w:hint="eastAsia" w:ascii="仿宋_GB2312" w:eastAsia="仿宋_GB2312" w:hAnsiTheme="minorEastAsia"/>
                <w:sz w:val="24"/>
                <w:szCs w:val="24"/>
              </w:rPr>
              <w:t>公示成交候选人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restart"/>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确定成交人</w:t>
            </w: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2.16</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成交办法</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见第四章采购方法有关条款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2.17</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签订合同</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见第四章采购方法有关条款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2.18</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履约担保</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详见第六章合同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925" w:type="dxa"/>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其他</w:t>
            </w:r>
          </w:p>
        </w:tc>
        <w:tc>
          <w:tcPr>
            <w:tcW w:w="748"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2.19</w:t>
            </w:r>
          </w:p>
        </w:tc>
        <w:tc>
          <w:tcPr>
            <w:tcW w:w="1680"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需要补充的其他内容</w:t>
            </w:r>
          </w:p>
        </w:tc>
        <w:tc>
          <w:tcPr>
            <w:tcW w:w="5750" w:type="dxa"/>
            <w:tcBorders>
              <w:right w:val="nil"/>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如采购文件内容与响应文件格式工程量清单存在不一致情形，则以响应文件格式工程量清单为准。如采购文件条款与合同存在不一致情形，则以合同为准。</w:t>
            </w:r>
          </w:p>
        </w:tc>
      </w:tr>
    </w:tbl>
    <w:p>
      <w:pPr>
        <w:numPr>
          <w:ilvl w:val="0"/>
          <w:numId w:val="4"/>
        </w:numPr>
        <w:spacing w:after="156" w:afterLines="50" w:line="600" w:lineRule="exact"/>
        <w:jc w:val="left"/>
        <w:rPr>
          <w:rFonts w:hint="eastAsia" w:ascii="黑体" w:hAnsi="黑体" w:eastAsia="黑体" w:cs="黑体"/>
          <w:b/>
          <w:sz w:val="32"/>
          <w:szCs w:val="32"/>
        </w:rPr>
      </w:pPr>
      <w:r>
        <w:rPr>
          <w:rFonts w:hint="eastAsia" w:ascii="黑体" w:hAnsi="黑体" w:eastAsia="黑体" w:cs="黑体"/>
          <w:b/>
          <w:sz w:val="32"/>
          <w:szCs w:val="32"/>
        </w:rPr>
        <w:t>若出现以下情况之一的，采购人将拒绝接收响应文件</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（1）逾期送达的、未送达指定地点的响应文件，采购人将予以拒收。</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（2）不按照采购文件要求密封的响应文件，采购人将予以拒收。</w:t>
      </w:r>
    </w:p>
    <w:p>
      <w:pPr>
        <w:numPr>
          <w:ilvl w:val="0"/>
          <w:numId w:val="4"/>
        </w:numPr>
        <w:spacing w:after="156" w:afterLines="50" w:line="600" w:lineRule="exact"/>
        <w:jc w:val="left"/>
        <w:rPr>
          <w:rFonts w:hint="eastAsia" w:ascii="黑体" w:hAnsi="黑体" w:eastAsia="黑体" w:cs="黑体"/>
          <w:b/>
          <w:sz w:val="32"/>
          <w:szCs w:val="32"/>
        </w:rPr>
      </w:pPr>
      <w:r>
        <w:rPr>
          <w:rFonts w:hint="eastAsia" w:ascii="黑体" w:hAnsi="黑体" w:eastAsia="黑体" w:cs="黑体"/>
          <w:b/>
          <w:sz w:val="32"/>
          <w:szCs w:val="32"/>
        </w:rPr>
        <w:t>发生下列情况之一者，视为无效响应行为</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（1）响应文件未按规定签字、盖章的。</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（2）响应文件未按规定格式填写，或内容与采购文件严重背离的。</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（3）响应文件有两个以上报价的（采购文件允许提交备选方案的除外）。</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（4）质量标准不符合采购文件要求的。</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（5）服务期不符合采购文件要求的。</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（6）报价超过最高限价的。</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（7）供应商不符合国家或采购文件规定的资格条件。</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（8）响应文件没有对采购文件的实质性要求和条件作出响应。</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（9）其他不符合采购文件要求的情形。</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（10）非法定代表人或授权委托代理人递交响应文件。</w:t>
      </w:r>
    </w:p>
    <w:p>
      <w:pPr>
        <w:numPr>
          <w:ilvl w:val="0"/>
          <w:numId w:val="4"/>
        </w:numPr>
        <w:spacing w:after="156" w:afterLines="50" w:line="600" w:lineRule="exact"/>
        <w:jc w:val="left"/>
        <w:rPr>
          <w:rFonts w:hint="eastAsia" w:ascii="黑体" w:hAnsi="黑体" w:eastAsia="黑体" w:cs="黑体"/>
          <w:b/>
          <w:sz w:val="32"/>
          <w:szCs w:val="32"/>
        </w:rPr>
      </w:pPr>
      <w:r>
        <w:rPr>
          <w:rFonts w:hint="eastAsia" w:ascii="黑体" w:hAnsi="黑体" w:eastAsia="黑体" w:cs="黑体"/>
          <w:b/>
          <w:sz w:val="32"/>
          <w:szCs w:val="32"/>
        </w:rPr>
        <w:t>响应保证金</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本项目无须递交响应保证金。</w:t>
      </w:r>
    </w:p>
    <w:p>
      <w:pPr>
        <w:numPr>
          <w:ilvl w:val="0"/>
          <w:numId w:val="4"/>
        </w:numPr>
        <w:spacing w:after="156" w:afterLines="50" w:line="600" w:lineRule="exact"/>
        <w:jc w:val="left"/>
        <w:rPr>
          <w:rFonts w:hint="eastAsia" w:ascii="黑体" w:hAnsi="黑体" w:eastAsia="黑体" w:cs="黑体"/>
          <w:b/>
          <w:sz w:val="32"/>
          <w:szCs w:val="32"/>
        </w:rPr>
      </w:pPr>
      <w:r>
        <w:rPr>
          <w:rFonts w:hint="eastAsia" w:ascii="黑体" w:hAnsi="黑体" w:eastAsia="黑体" w:cs="黑体"/>
          <w:b/>
          <w:sz w:val="32"/>
          <w:szCs w:val="32"/>
        </w:rPr>
        <w:t>响应文件要求</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响应文件包括下列内容:</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1.响应函</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2.法定代表人证明或授权委托书</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3.资格审查资料</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4.拟投入本项目的项目负责人情况表</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5.报价表</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6.其他资料</w:t>
      </w:r>
    </w:p>
    <w:p>
      <w:pPr>
        <w:numPr>
          <w:ilvl w:val="0"/>
          <w:numId w:val="4"/>
        </w:numPr>
        <w:spacing w:after="156" w:afterLines="50" w:line="600" w:lineRule="exact"/>
        <w:jc w:val="left"/>
        <w:rPr>
          <w:rFonts w:hint="eastAsia" w:ascii="黑体" w:hAnsi="黑体" w:eastAsia="黑体" w:cs="黑体"/>
          <w:b/>
          <w:sz w:val="32"/>
          <w:szCs w:val="32"/>
        </w:rPr>
      </w:pPr>
      <w:r>
        <w:rPr>
          <w:rFonts w:hint="eastAsia" w:ascii="黑体" w:hAnsi="黑体" w:eastAsia="黑体" w:cs="黑体"/>
          <w:b/>
          <w:sz w:val="32"/>
          <w:szCs w:val="32"/>
        </w:rPr>
        <w:t>异议</w:t>
      </w:r>
    </w:p>
    <w:p>
      <w:pPr>
        <w:spacing w:line="600" w:lineRule="exact"/>
        <w:ind w:firstLine="560" w:firstLineChars="200"/>
        <w:rPr>
          <w:rFonts w:ascii="仿宋_GB2312" w:eastAsia="仿宋_GB2312"/>
          <w:sz w:val="28"/>
          <w:szCs w:val="28"/>
        </w:rPr>
      </w:pPr>
      <w:r>
        <w:rPr>
          <w:rFonts w:hint="eastAsia" w:ascii="仿宋_GB2312" w:eastAsia="仿宋_GB2312"/>
          <w:sz w:val="28"/>
          <w:szCs w:val="28"/>
        </w:rPr>
        <w:t>7.1供应商或其他利害关系人可以对采购公告（采购邀请书）、采购文件、成交候选人等提出异议。异议应在采购公告或文件规定的时间内、成交候选人公示期间通过规定的异议渠道提出，并递交异议函和必要的证明材料。须按附件5表格提出异议，异议函包括但不限于下列内容：</w:t>
      </w:r>
    </w:p>
    <w:p>
      <w:pPr>
        <w:spacing w:line="600" w:lineRule="exact"/>
        <w:ind w:firstLine="560" w:firstLineChars="200"/>
        <w:rPr>
          <w:rFonts w:ascii="仿宋_GB2312" w:eastAsia="仿宋_GB2312"/>
          <w:sz w:val="28"/>
          <w:szCs w:val="28"/>
        </w:rPr>
      </w:pPr>
      <w:r>
        <w:rPr>
          <w:rFonts w:hint="eastAsia" w:ascii="仿宋_GB2312" w:eastAsia="仿宋_GB2312"/>
          <w:sz w:val="28"/>
          <w:szCs w:val="28"/>
        </w:rPr>
        <w:t>（1）异议人名称、地址、邮政编码、联系人及联系电话；</w:t>
      </w:r>
    </w:p>
    <w:p>
      <w:pPr>
        <w:spacing w:line="600" w:lineRule="exact"/>
        <w:ind w:firstLine="560" w:firstLineChars="200"/>
        <w:rPr>
          <w:rFonts w:ascii="仿宋_GB2312" w:eastAsia="仿宋_GB2312"/>
          <w:sz w:val="28"/>
          <w:szCs w:val="28"/>
        </w:rPr>
      </w:pPr>
      <w:r>
        <w:rPr>
          <w:rFonts w:hint="eastAsia" w:ascii="仿宋_GB2312" w:eastAsia="仿宋_GB2312"/>
          <w:sz w:val="28"/>
          <w:szCs w:val="28"/>
        </w:rPr>
        <w:t>（2）具体、明确的异议事项、事实依据及与异议事项相关的请求。</w:t>
      </w:r>
    </w:p>
    <w:p>
      <w:pPr>
        <w:spacing w:line="600" w:lineRule="exact"/>
        <w:ind w:firstLine="560" w:firstLineChars="200"/>
        <w:rPr>
          <w:rFonts w:ascii="仿宋_GB2312" w:eastAsia="仿宋_GB2312"/>
          <w:sz w:val="28"/>
          <w:szCs w:val="28"/>
        </w:rPr>
      </w:pPr>
      <w:r>
        <w:rPr>
          <w:rFonts w:hint="eastAsia" w:ascii="仿宋_GB2312" w:eastAsia="仿宋_GB2312"/>
          <w:sz w:val="28"/>
          <w:szCs w:val="28"/>
        </w:rPr>
        <w:t>异议函应由异议人的法定代表人（单位负责人）或其授权的代理人签字并加盖单位章。</w:t>
      </w:r>
    </w:p>
    <w:p>
      <w:pPr>
        <w:spacing w:line="600" w:lineRule="exact"/>
        <w:ind w:firstLine="560" w:firstLineChars="200"/>
        <w:rPr>
          <w:rFonts w:ascii="仿宋_GB2312" w:eastAsia="仿宋_GB2312"/>
          <w:sz w:val="28"/>
          <w:szCs w:val="28"/>
        </w:rPr>
      </w:pPr>
      <w:r>
        <w:rPr>
          <w:rFonts w:hint="eastAsia" w:ascii="仿宋_GB2312" w:eastAsia="仿宋_GB2312"/>
          <w:sz w:val="28"/>
          <w:szCs w:val="28"/>
        </w:rPr>
        <w:t>7.2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pPr>
        <w:spacing w:line="600" w:lineRule="exact"/>
        <w:ind w:firstLine="560" w:firstLineChars="200"/>
        <w:rPr>
          <w:rFonts w:ascii="仿宋_GB2312" w:eastAsia="仿宋_GB2312"/>
          <w:sz w:val="28"/>
          <w:szCs w:val="28"/>
        </w:rPr>
      </w:pPr>
      <w:r>
        <w:rPr>
          <w:rFonts w:hint="eastAsia" w:ascii="仿宋_GB2312" w:eastAsia="仿宋_GB2312"/>
          <w:sz w:val="28"/>
          <w:szCs w:val="28"/>
        </w:rPr>
        <w:t>7.3异议人与采购人对异议事项无法达成一致的，异议人可向采购人的监管部门进行反映。</w:t>
      </w:r>
    </w:p>
    <w:p>
      <w:pPr>
        <w:numPr>
          <w:ilvl w:val="0"/>
          <w:numId w:val="4"/>
        </w:numPr>
        <w:spacing w:after="156" w:afterLines="50" w:line="600" w:lineRule="exact"/>
        <w:jc w:val="left"/>
        <w:rPr>
          <w:rFonts w:hint="eastAsia" w:ascii="黑体" w:hAnsi="黑体" w:eastAsia="黑体" w:cs="黑体"/>
          <w:b/>
          <w:sz w:val="32"/>
          <w:szCs w:val="32"/>
        </w:rPr>
      </w:pPr>
      <w:r>
        <w:rPr>
          <w:rFonts w:hint="eastAsia" w:ascii="黑体" w:hAnsi="黑体" w:eastAsia="黑体" w:cs="黑体"/>
          <w:b/>
          <w:sz w:val="32"/>
          <w:szCs w:val="32"/>
        </w:rPr>
        <w:t>本章附件</w:t>
      </w:r>
    </w:p>
    <w:p>
      <w:pPr>
        <w:spacing w:line="600" w:lineRule="exact"/>
        <w:ind w:firstLine="560" w:firstLineChars="200"/>
        <w:jc w:val="left"/>
        <w:rPr>
          <w:rFonts w:ascii="仿宋_GB2312" w:eastAsia="仿宋_GB2312"/>
          <w:sz w:val="28"/>
          <w:szCs w:val="28"/>
        </w:rPr>
      </w:pPr>
      <w:r>
        <w:rPr>
          <w:rFonts w:ascii="仿宋_GB2312" w:eastAsia="仿宋_GB2312"/>
          <w:sz w:val="28"/>
          <w:szCs w:val="28"/>
        </w:rPr>
        <w:t>附件</w:t>
      </w:r>
      <w:r>
        <w:rPr>
          <w:rFonts w:hint="eastAsia" w:ascii="仿宋_GB2312" w:eastAsia="仿宋_GB2312"/>
          <w:sz w:val="28"/>
          <w:szCs w:val="28"/>
        </w:rPr>
        <w:t>1：响应文件开启表</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附件2：问题澄清通知</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附件3：问题的澄清</w:t>
      </w:r>
    </w:p>
    <w:p>
      <w:pPr>
        <w:spacing w:line="600" w:lineRule="exact"/>
        <w:ind w:firstLine="560" w:firstLineChars="200"/>
        <w:jc w:val="left"/>
        <w:rPr>
          <w:rFonts w:ascii="仿宋_GB2312" w:eastAsia="仿宋_GB2312"/>
          <w:sz w:val="28"/>
          <w:szCs w:val="28"/>
        </w:rPr>
      </w:pPr>
      <w:r>
        <w:rPr>
          <w:rFonts w:hint="eastAsia" w:ascii="仿宋_GB2312" w:eastAsia="仿宋_GB2312"/>
          <w:sz w:val="28"/>
          <w:szCs w:val="28"/>
        </w:rPr>
        <w:t>附件4：成交通知书</w:t>
      </w:r>
    </w:p>
    <w:p>
      <w:pPr>
        <w:spacing w:line="600" w:lineRule="exact"/>
        <w:ind w:firstLine="560" w:firstLineChars="200"/>
        <w:jc w:val="left"/>
        <w:rPr>
          <w:rFonts w:hint="eastAsia" w:asciiTheme="majorEastAsia" w:hAnsiTheme="majorEastAsia" w:eastAsiaTheme="majorEastAsia"/>
          <w:b/>
          <w:sz w:val="28"/>
          <w:szCs w:val="28"/>
        </w:rPr>
      </w:pPr>
      <w:r>
        <w:rPr>
          <w:rFonts w:hint="eastAsia" w:ascii="仿宋_GB2312" w:eastAsia="仿宋_GB2312"/>
          <w:sz w:val="28"/>
          <w:szCs w:val="28"/>
        </w:rPr>
        <w:t>附件5：关于**项目异议书</w:t>
      </w:r>
    </w:p>
    <w:p>
      <w:pPr>
        <w:rPr>
          <w:rFonts w:hint="eastAsia" w:asciiTheme="majorEastAsia" w:hAnsiTheme="majorEastAsia" w:eastAsiaTheme="majorEastAsia"/>
          <w:b/>
          <w:sz w:val="28"/>
          <w:szCs w:val="28"/>
        </w:rPr>
      </w:pPr>
      <w:r>
        <w:rPr>
          <w:rFonts w:asciiTheme="majorEastAsia" w:hAnsiTheme="majorEastAsia" w:eastAsiaTheme="majorEastAsia"/>
          <w:b/>
          <w:sz w:val="28"/>
          <w:szCs w:val="28"/>
        </w:rPr>
        <w:br w:type="page"/>
      </w:r>
    </w:p>
    <w:p>
      <w:pPr>
        <w:adjustRightInd w:val="0"/>
        <w:snapToGrid w:val="0"/>
        <w:spacing w:line="600" w:lineRule="exact"/>
        <w:jc w:val="left"/>
        <w:rPr>
          <w:rFonts w:hint="eastAsia" w:ascii="黑体" w:hAnsi="黑体" w:eastAsia="黑体" w:cs="黑体"/>
          <w:bCs/>
          <w:sz w:val="32"/>
          <w:szCs w:val="32"/>
        </w:rPr>
      </w:pPr>
      <w:r>
        <w:rPr>
          <w:rFonts w:hint="eastAsia" w:ascii="黑体" w:hAnsi="黑体" w:eastAsia="黑体" w:cs="黑体"/>
          <w:bCs/>
          <w:sz w:val="32"/>
          <w:szCs w:val="32"/>
        </w:rPr>
        <w:t>附件1</w:t>
      </w:r>
    </w:p>
    <w:p>
      <w:pPr>
        <w:adjustRightInd w:val="0"/>
        <w:snapToGrid w:val="0"/>
        <w:spacing w:line="600" w:lineRule="exact"/>
        <w:jc w:val="center"/>
        <w:rPr>
          <w:rFonts w:hint="eastAsia" w:ascii="方正小标宋简体" w:eastAsia="方正小标宋简体" w:hAnsiTheme="majorEastAsia"/>
          <w:sz w:val="40"/>
          <w:szCs w:val="40"/>
        </w:rPr>
      </w:pPr>
      <w:r>
        <w:rPr>
          <w:rFonts w:hint="eastAsia" w:ascii="方正小标宋简体" w:eastAsia="方正小标宋简体" w:hAnsiTheme="majorEastAsia"/>
          <w:sz w:val="40"/>
          <w:szCs w:val="40"/>
        </w:rPr>
        <w:t>响应文件开启表</w:t>
      </w:r>
    </w:p>
    <w:p>
      <w:pPr>
        <w:pStyle w:val="40"/>
        <w:rPr>
          <w:rFonts w:hint="eastAsia" w:ascii="仿宋_GB2312" w:hAnsi="仿宋_GB2312" w:eastAsia="仿宋_GB2312" w:cs="仿宋_GB2312"/>
          <w:sz w:val="28"/>
          <w:szCs w:val="32"/>
        </w:rPr>
      </w:pPr>
    </w:p>
    <w:p>
      <w:pPr>
        <w:adjustRightInd w:val="0"/>
        <w:snapToGrid w:val="0"/>
        <w:spacing w:line="600" w:lineRule="exact"/>
        <w:jc w:val="left"/>
        <w:rPr>
          <w:rFonts w:hint="eastAsia" w:ascii="仿宋_GB2312" w:eastAsia="仿宋_GB2312" w:hAnsiTheme="majorEastAsia"/>
          <w:sz w:val="28"/>
          <w:szCs w:val="28"/>
        </w:rPr>
      </w:pPr>
      <w:r>
        <w:rPr>
          <w:rFonts w:hint="eastAsia" w:ascii="仿宋_GB2312" w:eastAsia="仿宋_GB2312" w:hAnsiTheme="majorEastAsia"/>
          <w:sz w:val="28"/>
          <w:szCs w:val="28"/>
        </w:rPr>
        <w:t>开启时间：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时</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分</w:t>
      </w:r>
    </w:p>
    <w:tbl>
      <w:tblPr>
        <w:tblStyle w:val="26"/>
        <w:tblW w:w="0" w:type="auto"/>
        <w:tblInd w:w="-204"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3301"/>
        <w:gridCol w:w="1001"/>
        <w:gridCol w:w="1675"/>
        <w:gridCol w:w="1384"/>
        <w:gridCol w:w="836"/>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37" w:type="dxa"/>
            <w:vMerge w:val="restart"/>
            <w:tcBorders>
              <w:top w:val="single" w:color="auto" w:sz="4" w:space="0"/>
            </w:tcBorders>
            <w:vAlign w:val="center"/>
          </w:tcPr>
          <w:p>
            <w:pPr>
              <w:adjustRightInd w:val="0"/>
              <w:snapToGrid w:val="0"/>
              <w:jc w:val="center"/>
              <w:rPr>
                <w:rFonts w:ascii="仿宋_GB2312" w:eastAsia="仿宋_GB2312"/>
                <w:b/>
                <w:bCs/>
                <w:sz w:val="24"/>
                <w:szCs w:val="24"/>
              </w:rPr>
            </w:pPr>
            <w:r>
              <w:rPr>
                <w:rFonts w:hint="eastAsia" w:ascii="仿宋_GB2312" w:eastAsia="仿宋_GB2312"/>
                <w:b/>
                <w:bCs/>
                <w:sz w:val="24"/>
                <w:szCs w:val="24"/>
              </w:rPr>
              <w:t>序号</w:t>
            </w:r>
          </w:p>
        </w:tc>
        <w:tc>
          <w:tcPr>
            <w:tcW w:w="3402" w:type="dxa"/>
            <w:vMerge w:val="restart"/>
            <w:tcBorders>
              <w:top w:val="single" w:color="auto" w:sz="4" w:space="0"/>
            </w:tcBorders>
            <w:vAlign w:val="center"/>
          </w:tcPr>
          <w:p>
            <w:pPr>
              <w:adjustRightInd w:val="0"/>
              <w:snapToGrid w:val="0"/>
              <w:jc w:val="center"/>
              <w:rPr>
                <w:rFonts w:ascii="仿宋_GB2312" w:eastAsia="仿宋_GB2312"/>
                <w:b/>
                <w:bCs/>
                <w:sz w:val="24"/>
                <w:szCs w:val="24"/>
              </w:rPr>
            </w:pPr>
            <w:r>
              <w:rPr>
                <w:rFonts w:ascii="仿宋_GB2312" w:eastAsia="仿宋_GB2312"/>
                <w:b/>
                <w:bCs/>
                <w:sz w:val="24"/>
                <w:szCs w:val="24"/>
              </w:rPr>
              <w:t>供应商</w:t>
            </w:r>
          </w:p>
        </w:tc>
        <w:tc>
          <w:tcPr>
            <w:tcW w:w="1020" w:type="dxa"/>
            <w:vMerge w:val="restart"/>
            <w:tcBorders>
              <w:top w:val="single" w:color="auto" w:sz="4" w:space="0"/>
            </w:tcBorders>
            <w:vAlign w:val="center"/>
          </w:tcPr>
          <w:p>
            <w:pPr>
              <w:adjustRightInd w:val="0"/>
              <w:snapToGrid w:val="0"/>
              <w:jc w:val="center"/>
              <w:rPr>
                <w:rFonts w:ascii="仿宋_GB2312" w:eastAsia="仿宋_GB2312"/>
                <w:b/>
                <w:bCs/>
                <w:sz w:val="24"/>
                <w:szCs w:val="24"/>
              </w:rPr>
            </w:pPr>
            <w:r>
              <w:rPr>
                <w:rFonts w:ascii="仿宋_GB2312" w:eastAsia="仿宋_GB2312"/>
                <w:b/>
                <w:bCs/>
                <w:sz w:val="24"/>
                <w:szCs w:val="24"/>
              </w:rPr>
              <w:t>密封</w:t>
            </w:r>
          </w:p>
          <w:p>
            <w:pPr>
              <w:adjustRightInd w:val="0"/>
              <w:snapToGrid w:val="0"/>
              <w:jc w:val="center"/>
              <w:rPr>
                <w:rFonts w:ascii="仿宋_GB2312" w:eastAsia="仿宋_GB2312"/>
                <w:b/>
                <w:bCs/>
                <w:sz w:val="24"/>
                <w:szCs w:val="24"/>
              </w:rPr>
            </w:pPr>
            <w:r>
              <w:rPr>
                <w:rFonts w:ascii="仿宋_GB2312" w:eastAsia="仿宋_GB2312"/>
                <w:b/>
                <w:bCs/>
                <w:sz w:val="24"/>
                <w:szCs w:val="24"/>
              </w:rPr>
              <w:t>情况</w:t>
            </w:r>
          </w:p>
        </w:tc>
        <w:tc>
          <w:tcPr>
            <w:tcW w:w="1701" w:type="dxa"/>
            <w:vMerge w:val="restart"/>
            <w:tcBorders>
              <w:top w:val="single" w:color="auto" w:sz="4" w:space="0"/>
            </w:tcBorders>
            <w:vAlign w:val="center"/>
          </w:tcPr>
          <w:p>
            <w:pPr>
              <w:adjustRightInd w:val="0"/>
              <w:snapToGrid w:val="0"/>
              <w:jc w:val="center"/>
              <w:rPr>
                <w:rFonts w:ascii="仿宋_GB2312" w:eastAsia="仿宋_GB2312"/>
                <w:b/>
                <w:bCs/>
                <w:sz w:val="24"/>
                <w:szCs w:val="24"/>
              </w:rPr>
            </w:pPr>
            <w:r>
              <w:rPr>
                <w:rFonts w:ascii="仿宋_GB2312" w:eastAsia="仿宋_GB2312"/>
                <w:b/>
                <w:bCs/>
                <w:sz w:val="24"/>
                <w:szCs w:val="24"/>
              </w:rPr>
              <w:t>报价</w:t>
            </w:r>
          </w:p>
          <w:p>
            <w:pPr>
              <w:adjustRightInd w:val="0"/>
              <w:snapToGrid w:val="0"/>
              <w:jc w:val="center"/>
              <w:rPr>
                <w:rFonts w:ascii="仿宋_GB2312" w:eastAsia="仿宋_GB2312"/>
                <w:b/>
                <w:bCs/>
                <w:sz w:val="24"/>
                <w:szCs w:val="24"/>
              </w:rPr>
            </w:pPr>
            <w:r>
              <w:rPr>
                <w:rFonts w:hint="eastAsia" w:ascii="仿宋_GB2312" w:eastAsia="仿宋_GB2312"/>
                <w:b/>
                <w:bCs/>
                <w:sz w:val="24"/>
                <w:szCs w:val="24"/>
              </w:rPr>
              <w:t>（元）</w:t>
            </w:r>
          </w:p>
        </w:tc>
        <w:tc>
          <w:tcPr>
            <w:tcW w:w="1417" w:type="dxa"/>
            <w:vMerge w:val="restart"/>
            <w:tcBorders>
              <w:top w:val="single" w:color="auto" w:sz="4" w:space="0"/>
            </w:tcBorders>
            <w:vAlign w:val="center"/>
          </w:tcPr>
          <w:p>
            <w:pPr>
              <w:adjustRightInd w:val="0"/>
              <w:snapToGrid w:val="0"/>
              <w:jc w:val="center"/>
              <w:rPr>
                <w:rFonts w:ascii="仿宋_GB2312" w:eastAsia="仿宋_GB2312"/>
                <w:b/>
                <w:bCs/>
                <w:sz w:val="24"/>
                <w:szCs w:val="24"/>
              </w:rPr>
            </w:pPr>
            <w:r>
              <w:rPr>
                <w:rFonts w:ascii="仿宋_GB2312" w:eastAsia="仿宋_GB2312"/>
                <w:b/>
                <w:bCs/>
                <w:sz w:val="24"/>
                <w:szCs w:val="24"/>
              </w:rPr>
              <w:t>供应商代表签名</w:t>
            </w:r>
          </w:p>
        </w:tc>
        <w:tc>
          <w:tcPr>
            <w:tcW w:w="850" w:type="dxa"/>
            <w:vMerge w:val="restart"/>
            <w:tcBorders>
              <w:top w:val="single" w:color="auto" w:sz="4" w:space="0"/>
            </w:tcBorders>
            <w:vAlign w:val="center"/>
          </w:tcPr>
          <w:p>
            <w:pPr>
              <w:adjustRightInd w:val="0"/>
              <w:snapToGrid w:val="0"/>
              <w:jc w:val="center"/>
              <w:rPr>
                <w:rFonts w:ascii="仿宋_GB2312" w:eastAsia="仿宋_GB2312"/>
                <w:b/>
                <w:bCs/>
                <w:sz w:val="24"/>
                <w:szCs w:val="24"/>
              </w:rPr>
            </w:pPr>
            <w:r>
              <w:rPr>
                <w:rFonts w:ascii="仿宋_GB2312" w:eastAsia="仿宋_GB2312"/>
                <w:b/>
                <w:bCs/>
                <w:sz w:val="24"/>
                <w:szCs w:val="24"/>
              </w:rPr>
              <w:t>备注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737" w:type="dxa"/>
            <w:vMerge w:val="continue"/>
            <w:vAlign w:val="center"/>
          </w:tcPr>
          <w:p>
            <w:pPr>
              <w:adjustRightInd w:val="0"/>
              <w:snapToGrid w:val="0"/>
              <w:spacing w:line="600" w:lineRule="exact"/>
              <w:jc w:val="center"/>
              <w:rPr>
                <w:rFonts w:ascii="仿宋_GB2312" w:eastAsia="仿宋_GB2312"/>
                <w:sz w:val="24"/>
                <w:szCs w:val="24"/>
              </w:rPr>
            </w:pPr>
          </w:p>
        </w:tc>
        <w:tc>
          <w:tcPr>
            <w:tcW w:w="3402" w:type="dxa"/>
            <w:vMerge w:val="continue"/>
            <w:vAlign w:val="center"/>
          </w:tcPr>
          <w:p>
            <w:pPr>
              <w:adjustRightInd w:val="0"/>
              <w:snapToGrid w:val="0"/>
              <w:spacing w:line="600" w:lineRule="exact"/>
              <w:jc w:val="center"/>
              <w:rPr>
                <w:rFonts w:ascii="仿宋_GB2312" w:eastAsia="仿宋_GB2312"/>
                <w:sz w:val="24"/>
                <w:szCs w:val="24"/>
              </w:rPr>
            </w:pPr>
          </w:p>
        </w:tc>
        <w:tc>
          <w:tcPr>
            <w:tcW w:w="1020" w:type="dxa"/>
            <w:vMerge w:val="continue"/>
            <w:vAlign w:val="center"/>
          </w:tcPr>
          <w:p>
            <w:pPr>
              <w:adjustRightInd w:val="0"/>
              <w:snapToGrid w:val="0"/>
              <w:spacing w:line="600" w:lineRule="exact"/>
              <w:jc w:val="center"/>
              <w:rPr>
                <w:rFonts w:ascii="仿宋_GB2312" w:eastAsia="仿宋_GB2312"/>
                <w:sz w:val="24"/>
                <w:szCs w:val="24"/>
              </w:rPr>
            </w:pPr>
          </w:p>
        </w:tc>
        <w:tc>
          <w:tcPr>
            <w:tcW w:w="1701" w:type="dxa"/>
            <w:vMerge w:val="continue"/>
            <w:vAlign w:val="center"/>
          </w:tcPr>
          <w:p>
            <w:pPr>
              <w:adjustRightInd w:val="0"/>
              <w:snapToGrid w:val="0"/>
              <w:spacing w:line="600" w:lineRule="exact"/>
              <w:jc w:val="center"/>
              <w:rPr>
                <w:rFonts w:ascii="仿宋_GB2312" w:eastAsia="仿宋_GB2312"/>
                <w:sz w:val="24"/>
                <w:szCs w:val="24"/>
              </w:rPr>
            </w:pPr>
          </w:p>
        </w:tc>
        <w:tc>
          <w:tcPr>
            <w:tcW w:w="1417" w:type="dxa"/>
            <w:vMerge w:val="continue"/>
            <w:vAlign w:val="center"/>
          </w:tcPr>
          <w:p>
            <w:pPr>
              <w:adjustRightInd w:val="0"/>
              <w:snapToGrid w:val="0"/>
              <w:spacing w:line="600" w:lineRule="exact"/>
              <w:jc w:val="center"/>
              <w:rPr>
                <w:rFonts w:ascii="仿宋_GB2312" w:eastAsia="仿宋_GB2312"/>
                <w:sz w:val="24"/>
                <w:szCs w:val="24"/>
              </w:rPr>
            </w:pPr>
          </w:p>
        </w:tc>
        <w:tc>
          <w:tcPr>
            <w:tcW w:w="850" w:type="dxa"/>
            <w:vMerge w:val="continue"/>
            <w:vAlign w:val="center"/>
          </w:tcPr>
          <w:p>
            <w:pPr>
              <w:adjustRightInd w:val="0"/>
              <w:snapToGrid w:val="0"/>
              <w:spacing w:line="600" w:lineRule="exact"/>
              <w:jc w:val="center"/>
              <w:rPr>
                <w:rFonts w:ascii="仿宋_GB2312" w:eastAsia="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adjustRightInd w:val="0"/>
              <w:snapToGrid w:val="0"/>
              <w:jc w:val="center"/>
              <w:rPr>
                <w:rFonts w:hint="eastAsia" w:ascii="仿宋_GB2312" w:hAnsi="仿宋_GB2312" w:eastAsia="仿宋_GB2312" w:cs="仿宋_GB2312"/>
                <w:sz w:val="24"/>
                <w:szCs w:val="24"/>
              </w:rPr>
            </w:pPr>
          </w:p>
        </w:tc>
        <w:tc>
          <w:tcPr>
            <w:tcW w:w="3402" w:type="dxa"/>
            <w:vAlign w:val="center"/>
          </w:tcPr>
          <w:p>
            <w:pPr>
              <w:adjustRightInd w:val="0"/>
              <w:snapToGrid w:val="0"/>
              <w:jc w:val="center"/>
              <w:rPr>
                <w:rFonts w:hint="eastAsia" w:ascii="仿宋_GB2312" w:hAnsi="仿宋_GB2312" w:eastAsia="仿宋_GB2312" w:cs="仿宋_GB2312"/>
                <w:sz w:val="24"/>
                <w:szCs w:val="24"/>
              </w:rPr>
            </w:pPr>
          </w:p>
        </w:tc>
        <w:tc>
          <w:tcPr>
            <w:tcW w:w="1020" w:type="dxa"/>
            <w:vAlign w:val="center"/>
          </w:tcPr>
          <w:p>
            <w:pPr>
              <w:adjustRightInd w:val="0"/>
              <w:snapToGrid w:val="0"/>
              <w:jc w:val="center"/>
              <w:rPr>
                <w:rFonts w:hint="eastAsia" w:ascii="仿宋_GB2312" w:hAnsi="仿宋_GB2312" w:eastAsia="仿宋_GB2312" w:cs="仿宋_GB2312"/>
                <w:sz w:val="24"/>
                <w:szCs w:val="24"/>
              </w:rPr>
            </w:pPr>
          </w:p>
        </w:tc>
        <w:tc>
          <w:tcPr>
            <w:tcW w:w="1701" w:type="dxa"/>
            <w:vAlign w:val="center"/>
          </w:tcPr>
          <w:p>
            <w:pPr>
              <w:adjustRightInd w:val="0"/>
              <w:snapToGrid w:val="0"/>
              <w:jc w:val="center"/>
              <w:rPr>
                <w:rFonts w:hint="eastAsia" w:ascii="仿宋_GB2312" w:hAnsi="仿宋_GB2312" w:eastAsia="仿宋_GB2312" w:cs="仿宋_GB2312"/>
                <w:sz w:val="24"/>
                <w:szCs w:val="24"/>
              </w:rPr>
            </w:pPr>
          </w:p>
        </w:tc>
        <w:tc>
          <w:tcPr>
            <w:tcW w:w="1417" w:type="dxa"/>
            <w:vAlign w:val="center"/>
          </w:tcPr>
          <w:p>
            <w:pPr>
              <w:adjustRightInd w:val="0"/>
              <w:snapToGrid w:val="0"/>
              <w:jc w:val="center"/>
              <w:rPr>
                <w:rFonts w:hint="eastAsia" w:ascii="仿宋_GB2312" w:hAnsi="仿宋_GB2312" w:eastAsia="仿宋_GB2312" w:cs="仿宋_GB2312"/>
                <w:sz w:val="24"/>
                <w:szCs w:val="24"/>
              </w:rPr>
            </w:pPr>
          </w:p>
        </w:tc>
        <w:tc>
          <w:tcPr>
            <w:tcW w:w="850" w:type="dxa"/>
            <w:vAlign w:val="center"/>
          </w:tcPr>
          <w:p>
            <w:pPr>
              <w:adjustRightInd w:val="0"/>
              <w:snapToGrid w:val="0"/>
              <w:jc w:val="center"/>
              <w:rPr>
                <w:rFonts w:hint="eastAsia" w:ascii="仿宋_GB2312" w:hAnsi="仿宋_GB2312" w:eastAsia="仿宋_GB2312" w:cs="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adjustRightInd w:val="0"/>
              <w:snapToGrid w:val="0"/>
              <w:jc w:val="center"/>
              <w:rPr>
                <w:rFonts w:hint="eastAsia" w:ascii="仿宋_GB2312" w:hAnsi="仿宋_GB2312" w:eastAsia="仿宋_GB2312" w:cs="仿宋_GB2312"/>
                <w:sz w:val="24"/>
                <w:szCs w:val="24"/>
              </w:rPr>
            </w:pPr>
          </w:p>
        </w:tc>
        <w:tc>
          <w:tcPr>
            <w:tcW w:w="3402" w:type="dxa"/>
            <w:vAlign w:val="center"/>
          </w:tcPr>
          <w:p>
            <w:pPr>
              <w:adjustRightInd w:val="0"/>
              <w:snapToGrid w:val="0"/>
              <w:jc w:val="center"/>
              <w:rPr>
                <w:rFonts w:hint="eastAsia" w:ascii="仿宋_GB2312" w:hAnsi="仿宋_GB2312" w:eastAsia="仿宋_GB2312" w:cs="仿宋_GB2312"/>
                <w:sz w:val="24"/>
                <w:szCs w:val="24"/>
              </w:rPr>
            </w:pPr>
          </w:p>
        </w:tc>
        <w:tc>
          <w:tcPr>
            <w:tcW w:w="1020" w:type="dxa"/>
            <w:vAlign w:val="center"/>
          </w:tcPr>
          <w:p>
            <w:pPr>
              <w:adjustRightInd w:val="0"/>
              <w:snapToGrid w:val="0"/>
              <w:jc w:val="center"/>
              <w:rPr>
                <w:rFonts w:hint="eastAsia" w:ascii="仿宋_GB2312" w:hAnsi="仿宋_GB2312" w:eastAsia="仿宋_GB2312" w:cs="仿宋_GB2312"/>
                <w:sz w:val="24"/>
                <w:szCs w:val="24"/>
              </w:rPr>
            </w:pPr>
          </w:p>
        </w:tc>
        <w:tc>
          <w:tcPr>
            <w:tcW w:w="1701" w:type="dxa"/>
            <w:vAlign w:val="center"/>
          </w:tcPr>
          <w:p>
            <w:pPr>
              <w:adjustRightInd w:val="0"/>
              <w:snapToGrid w:val="0"/>
              <w:jc w:val="center"/>
              <w:rPr>
                <w:rFonts w:hint="eastAsia" w:ascii="仿宋_GB2312" w:hAnsi="仿宋_GB2312" w:eastAsia="仿宋_GB2312" w:cs="仿宋_GB2312"/>
                <w:sz w:val="24"/>
                <w:szCs w:val="24"/>
              </w:rPr>
            </w:pPr>
          </w:p>
        </w:tc>
        <w:tc>
          <w:tcPr>
            <w:tcW w:w="1417" w:type="dxa"/>
            <w:vAlign w:val="center"/>
          </w:tcPr>
          <w:p>
            <w:pPr>
              <w:adjustRightInd w:val="0"/>
              <w:snapToGrid w:val="0"/>
              <w:jc w:val="center"/>
              <w:rPr>
                <w:rFonts w:hint="eastAsia" w:ascii="仿宋_GB2312" w:hAnsi="仿宋_GB2312" w:eastAsia="仿宋_GB2312" w:cs="仿宋_GB2312"/>
                <w:sz w:val="24"/>
                <w:szCs w:val="24"/>
              </w:rPr>
            </w:pPr>
          </w:p>
        </w:tc>
        <w:tc>
          <w:tcPr>
            <w:tcW w:w="850" w:type="dxa"/>
            <w:vAlign w:val="center"/>
          </w:tcPr>
          <w:p>
            <w:pPr>
              <w:adjustRightInd w:val="0"/>
              <w:snapToGrid w:val="0"/>
              <w:jc w:val="center"/>
              <w:rPr>
                <w:rFonts w:hint="eastAsia" w:ascii="仿宋_GB2312" w:hAnsi="仿宋_GB2312" w:eastAsia="仿宋_GB2312" w:cs="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adjustRightInd w:val="0"/>
              <w:snapToGrid w:val="0"/>
              <w:jc w:val="center"/>
              <w:rPr>
                <w:rFonts w:hint="eastAsia" w:ascii="仿宋_GB2312" w:hAnsi="仿宋_GB2312" w:eastAsia="仿宋_GB2312" w:cs="仿宋_GB2312"/>
                <w:sz w:val="24"/>
                <w:szCs w:val="24"/>
              </w:rPr>
            </w:pPr>
          </w:p>
        </w:tc>
        <w:tc>
          <w:tcPr>
            <w:tcW w:w="3402" w:type="dxa"/>
            <w:vAlign w:val="center"/>
          </w:tcPr>
          <w:p>
            <w:pPr>
              <w:adjustRightInd w:val="0"/>
              <w:snapToGrid w:val="0"/>
              <w:jc w:val="center"/>
              <w:rPr>
                <w:rFonts w:hint="eastAsia" w:ascii="仿宋_GB2312" w:hAnsi="仿宋_GB2312" w:eastAsia="仿宋_GB2312" w:cs="仿宋_GB2312"/>
                <w:sz w:val="24"/>
                <w:szCs w:val="24"/>
              </w:rPr>
            </w:pPr>
          </w:p>
        </w:tc>
        <w:tc>
          <w:tcPr>
            <w:tcW w:w="1020" w:type="dxa"/>
            <w:vAlign w:val="center"/>
          </w:tcPr>
          <w:p>
            <w:pPr>
              <w:adjustRightInd w:val="0"/>
              <w:snapToGrid w:val="0"/>
              <w:jc w:val="center"/>
              <w:rPr>
                <w:rFonts w:hint="eastAsia" w:ascii="仿宋_GB2312" w:hAnsi="仿宋_GB2312" w:eastAsia="仿宋_GB2312" w:cs="仿宋_GB2312"/>
                <w:sz w:val="24"/>
                <w:szCs w:val="24"/>
              </w:rPr>
            </w:pPr>
          </w:p>
        </w:tc>
        <w:tc>
          <w:tcPr>
            <w:tcW w:w="1701" w:type="dxa"/>
            <w:vAlign w:val="center"/>
          </w:tcPr>
          <w:p>
            <w:pPr>
              <w:adjustRightInd w:val="0"/>
              <w:snapToGrid w:val="0"/>
              <w:jc w:val="center"/>
              <w:rPr>
                <w:rFonts w:hint="eastAsia" w:ascii="仿宋_GB2312" w:hAnsi="仿宋_GB2312" w:eastAsia="仿宋_GB2312" w:cs="仿宋_GB2312"/>
                <w:sz w:val="24"/>
                <w:szCs w:val="24"/>
              </w:rPr>
            </w:pPr>
          </w:p>
        </w:tc>
        <w:tc>
          <w:tcPr>
            <w:tcW w:w="1417" w:type="dxa"/>
            <w:vAlign w:val="center"/>
          </w:tcPr>
          <w:p>
            <w:pPr>
              <w:adjustRightInd w:val="0"/>
              <w:snapToGrid w:val="0"/>
              <w:jc w:val="center"/>
              <w:rPr>
                <w:rFonts w:hint="eastAsia" w:ascii="仿宋_GB2312" w:hAnsi="仿宋_GB2312" w:eastAsia="仿宋_GB2312" w:cs="仿宋_GB2312"/>
                <w:sz w:val="24"/>
                <w:szCs w:val="24"/>
              </w:rPr>
            </w:pPr>
          </w:p>
        </w:tc>
        <w:tc>
          <w:tcPr>
            <w:tcW w:w="850" w:type="dxa"/>
            <w:vAlign w:val="center"/>
          </w:tcPr>
          <w:p>
            <w:pPr>
              <w:adjustRightInd w:val="0"/>
              <w:snapToGrid w:val="0"/>
              <w:jc w:val="center"/>
              <w:rPr>
                <w:rFonts w:hint="eastAsia" w:ascii="仿宋_GB2312" w:hAnsi="仿宋_GB2312" w:eastAsia="仿宋_GB2312" w:cs="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adjustRightInd w:val="0"/>
              <w:snapToGrid w:val="0"/>
              <w:jc w:val="center"/>
              <w:rPr>
                <w:rFonts w:hint="eastAsia" w:ascii="仿宋_GB2312" w:hAnsi="仿宋_GB2312" w:eastAsia="仿宋_GB2312" w:cs="仿宋_GB2312"/>
                <w:sz w:val="24"/>
                <w:szCs w:val="24"/>
              </w:rPr>
            </w:pPr>
          </w:p>
        </w:tc>
        <w:tc>
          <w:tcPr>
            <w:tcW w:w="3402" w:type="dxa"/>
            <w:vAlign w:val="center"/>
          </w:tcPr>
          <w:p>
            <w:pPr>
              <w:adjustRightInd w:val="0"/>
              <w:snapToGrid w:val="0"/>
              <w:jc w:val="center"/>
              <w:rPr>
                <w:rFonts w:hint="eastAsia" w:ascii="仿宋_GB2312" w:hAnsi="仿宋_GB2312" w:eastAsia="仿宋_GB2312" w:cs="仿宋_GB2312"/>
                <w:sz w:val="24"/>
                <w:szCs w:val="24"/>
              </w:rPr>
            </w:pPr>
          </w:p>
        </w:tc>
        <w:tc>
          <w:tcPr>
            <w:tcW w:w="1020" w:type="dxa"/>
            <w:vAlign w:val="center"/>
          </w:tcPr>
          <w:p>
            <w:pPr>
              <w:adjustRightInd w:val="0"/>
              <w:snapToGrid w:val="0"/>
              <w:jc w:val="center"/>
              <w:rPr>
                <w:rFonts w:hint="eastAsia" w:ascii="仿宋_GB2312" w:hAnsi="仿宋_GB2312" w:eastAsia="仿宋_GB2312" w:cs="仿宋_GB2312"/>
                <w:sz w:val="24"/>
                <w:szCs w:val="24"/>
              </w:rPr>
            </w:pPr>
          </w:p>
        </w:tc>
        <w:tc>
          <w:tcPr>
            <w:tcW w:w="1701" w:type="dxa"/>
            <w:vAlign w:val="center"/>
          </w:tcPr>
          <w:p>
            <w:pPr>
              <w:adjustRightInd w:val="0"/>
              <w:snapToGrid w:val="0"/>
              <w:jc w:val="center"/>
              <w:rPr>
                <w:rFonts w:hint="eastAsia" w:ascii="仿宋_GB2312" w:hAnsi="仿宋_GB2312" w:eastAsia="仿宋_GB2312" w:cs="仿宋_GB2312"/>
                <w:sz w:val="24"/>
                <w:szCs w:val="24"/>
              </w:rPr>
            </w:pPr>
          </w:p>
        </w:tc>
        <w:tc>
          <w:tcPr>
            <w:tcW w:w="1417" w:type="dxa"/>
            <w:vAlign w:val="center"/>
          </w:tcPr>
          <w:p>
            <w:pPr>
              <w:adjustRightInd w:val="0"/>
              <w:snapToGrid w:val="0"/>
              <w:jc w:val="center"/>
              <w:rPr>
                <w:rFonts w:hint="eastAsia" w:ascii="仿宋_GB2312" w:hAnsi="仿宋_GB2312" w:eastAsia="仿宋_GB2312" w:cs="仿宋_GB2312"/>
                <w:sz w:val="24"/>
                <w:szCs w:val="24"/>
              </w:rPr>
            </w:pPr>
          </w:p>
        </w:tc>
        <w:tc>
          <w:tcPr>
            <w:tcW w:w="850" w:type="dxa"/>
            <w:vAlign w:val="center"/>
          </w:tcPr>
          <w:p>
            <w:pPr>
              <w:adjustRightInd w:val="0"/>
              <w:snapToGrid w:val="0"/>
              <w:jc w:val="center"/>
              <w:rPr>
                <w:rFonts w:hint="eastAsia" w:ascii="仿宋_GB2312" w:hAnsi="仿宋_GB2312" w:eastAsia="仿宋_GB2312" w:cs="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vAlign w:val="center"/>
          </w:tcPr>
          <w:p>
            <w:pPr>
              <w:adjustRightInd w:val="0"/>
              <w:snapToGrid w:val="0"/>
              <w:jc w:val="center"/>
              <w:rPr>
                <w:rFonts w:hint="eastAsia" w:ascii="仿宋_GB2312" w:hAnsi="仿宋_GB2312" w:eastAsia="仿宋_GB2312" w:cs="仿宋_GB2312"/>
                <w:sz w:val="24"/>
                <w:szCs w:val="24"/>
              </w:rPr>
            </w:pPr>
          </w:p>
        </w:tc>
        <w:tc>
          <w:tcPr>
            <w:tcW w:w="3402" w:type="dxa"/>
            <w:vAlign w:val="center"/>
          </w:tcPr>
          <w:p>
            <w:pPr>
              <w:adjustRightInd w:val="0"/>
              <w:snapToGrid w:val="0"/>
              <w:jc w:val="center"/>
              <w:rPr>
                <w:rFonts w:hint="eastAsia" w:ascii="仿宋_GB2312" w:hAnsi="仿宋_GB2312" w:eastAsia="仿宋_GB2312" w:cs="仿宋_GB2312"/>
                <w:sz w:val="24"/>
                <w:szCs w:val="24"/>
              </w:rPr>
            </w:pPr>
          </w:p>
        </w:tc>
        <w:tc>
          <w:tcPr>
            <w:tcW w:w="1020" w:type="dxa"/>
            <w:vAlign w:val="center"/>
          </w:tcPr>
          <w:p>
            <w:pPr>
              <w:adjustRightInd w:val="0"/>
              <w:snapToGrid w:val="0"/>
              <w:jc w:val="center"/>
              <w:rPr>
                <w:rFonts w:hint="eastAsia" w:ascii="仿宋_GB2312" w:hAnsi="仿宋_GB2312" w:eastAsia="仿宋_GB2312" w:cs="仿宋_GB2312"/>
                <w:sz w:val="24"/>
                <w:szCs w:val="24"/>
              </w:rPr>
            </w:pPr>
          </w:p>
        </w:tc>
        <w:tc>
          <w:tcPr>
            <w:tcW w:w="1701" w:type="dxa"/>
            <w:vAlign w:val="center"/>
          </w:tcPr>
          <w:p>
            <w:pPr>
              <w:adjustRightInd w:val="0"/>
              <w:snapToGrid w:val="0"/>
              <w:jc w:val="center"/>
              <w:rPr>
                <w:rFonts w:hint="eastAsia" w:ascii="仿宋_GB2312" w:hAnsi="仿宋_GB2312" w:eastAsia="仿宋_GB2312" w:cs="仿宋_GB2312"/>
                <w:sz w:val="24"/>
                <w:szCs w:val="24"/>
              </w:rPr>
            </w:pPr>
          </w:p>
        </w:tc>
        <w:tc>
          <w:tcPr>
            <w:tcW w:w="1417" w:type="dxa"/>
            <w:vAlign w:val="center"/>
          </w:tcPr>
          <w:p>
            <w:pPr>
              <w:adjustRightInd w:val="0"/>
              <w:snapToGrid w:val="0"/>
              <w:jc w:val="center"/>
              <w:rPr>
                <w:rFonts w:hint="eastAsia" w:ascii="仿宋_GB2312" w:hAnsi="仿宋_GB2312" w:eastAsia="仿宋_GB2312" w:cs="仿宋_GB2312"/>
                <w:sz w:val="24"/>
                <w:szCs w:val="24"/>
              </w:rPr>
            </w:pPr>
          </w:p>
        </w:tc>
        <w:tc>
          <w:tcPr>
            <w:tcW w:w="850" w:type="dxa"/>
            <w:vAlign w:val="center"/>
          </w:tcPr>
          <w:p>
            <w:pPr>
              <w:adjustRightInd w:val="0"/>
              <w:snapToGrid w:val="0"/>
              <w:jc w:val="center"/>
              <w:rPr>
                <w:rFonts w:hint="eastAsia" w:ascii="仿宋_GB2312" w:hAnsi="仿宋_GB2312" w:eastAsia="仿宋_GB2312" w:cs="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tcBorders>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c>
          <w:tcPr>
            <w:tcW w:w="3402" w:type="dxa"/>
            <w:tcBorders>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c>
          <w:tcPr>
            <w:tcW w:w="1020" w:type="dxa"/>
            <w:tcBorders>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c>
          <w:tcPr>
            <w:tcW w:w="1701" w:type="dxa"/>
            <w:tcBorders>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c>
          <w:tcPr>
            <w:tcW w:w="1417" w:type="dxa"/>
            <w:tcBorders>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c>
          <w:tcPr>
            <w:tcW w:w="850" w:type="dxa"/>
            <w:tcBorders>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7" w:type="dxa"/>
            <w:tcBorders>
              <w:top w:val="single" w:color="auto" w:sz="4" w:space="0"/>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c>
          <w:tcPr>
            <w:tcW w:w="3402" w:type="dxa"/>
            <w:tcBorders>
              <w:top w:val="single" w:color="auto" w:sz="4" w:space="0"/>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c>
          <w:tcPr>
            <w:tcW w:w="1020" w:type="dxa"/>
            <w:tcBorders>
              <w:top w:val="single" w:color="auto" w:sz="4" w:space="0"/>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c>
          <w:tcPr>
            <w:tcW w:w="1701" w:type="dxa"/>
            <w:tcBorders>
              <w:top w:val="single" w:color="auto" w:sz="4" w:space="0"/>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c>
          <w:tcPr>
            <w:tcW w:w="1417" w:type="dxa"/>
            <w:tcBorders>
              <w:top w:val="single" w:color="auto" w:sz="4" w:space="0"/>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c>
          <w:tcPr>
            <w:tcW w:w="850" w:type="dxa"/>
            <w:tcBorders>
              <w:top w:val="single" w:color="auto" w:sz="4" w:space="0"/>
              <w:bottom w:val="single" w:color="auto" w:sz="4" w:space="0"/>
            </w:tcBorders>
            <w:vAlign w:val="center"/>
          </w:tcPr>
          <w:p>
            <w:pPr>
              <w:adjustRightInd w:val="0"/>
              <w:snapToGrid w:val="0"/>
              <w:jc w:val="center"/>
              <w:rPr>
                <w:rFonts w:hint="eastAsia" w:ascii="仿宋_GB2312" w:hAnsi="仿宋_GB2312" w:eastAsia="仿宋_GB2312" w:cs="仿宋_GB2312"/>
                <w:sz w:val="24"/>
                <w:szCs w:val="24"/>
              </w:rPr>
            </w:pPr>
          </w:p>
        </w:tc>
      </w:tr>
    </w:tbl>
    <w:p>
      <w:pPr>
        <w:adjustRightInd w:val="0"/>
        <w:snapToGrid w:val="0"/>
        <w:spacing w:line="600" w:lineRule="exact"/>
        <w:ind w:firstLine="555"/>
        <w:jc w:val="left"/>
        <w:rPr>
          <w:rFonts w:hint="eastAsia" w:ascii="仿宋_GB2312" w:eastAsia="仿宋_GB2312" w:hAnsiTheme="majorEastAsia"/>
          <w:sz w:val="28"/>
          <w:szCs w:val="28"/>
          <w:u w:val="single"/>
        </w:rPr>
      </w:pPr>
      <w:r>
        <w:rPr>
          <w:rFonts w:hint="eastAsia" w:ascii="仿宋_GB2312" w:eastAsia="仿宋_GB2312" w:hAnsiTheme="majorEastAsia"/>
          <w:sz w:val="28"/>
          <w:szCs w:val="28"/>
        </w:rPr>
        <w:t>采购人代表</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 xml:space="preserve">      记录人</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 xml:space="preserve">  </w:t>
      </w:r>
    </w:p>
    <w:p>
      <w:pPr>
        <w:adjustRightInd w:val="0"/>
        <w:snapToGrid w:val="0"/>
        <w:spacing w:line="600" w:lineRule="exact"/>
        <w:ind w:firstLine="555"/>
        <w:jc w:val="left"/>
        <w:rPr>
          <w:rFonts w:hint="eastAsia" w:ascii="仿宋_GB2312" w:eastAsia="仿宋_GB2312" w:hAnsiTheme="majorEastAsia"/>
          <w:sz w:val="28"/>
          <w:szCs w:val="28"/>
        </w:rPr>
      </w:pPr>
      <w:r>
        <w:rPr>
          <w:rFonts w:hint="eastAsia" w:ascii="仿宋_GB2312" w:eastAsia="仿宋_GB2312" w:hAnsiTheme="majorEastAsia"/>
          <w:sz w:val="28"/>
          <w:szCs w:val="28"/>
        </w:rPr>
        <w:t xml:space="preserve">                                      </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p>
    <w:p>
      <w:pPr>
        <w:rPr>
          <w:rFonts w:hint="eastAsia" w:ascii="仿宋_GB2312" w:eastAsia="仿宋_GB2312" w:hAnsiTheme="majorEastAsia"/>
          <w:sz w:val="28"/>
          <w:szCs w:val="28"/>
        </w:rPr>
      </w:pPr>
      <w:r>
        <w:rPr>
          <w:rFonts w:ascii="仿宋_GB2312" w:eastAsia="仿宋_GB2312" w:hAnsiTheme="majorEastAsia"/>
          <w:sz w:val="28"/>
          <w:szCs w:val="28"/>
        </w:rPr>
        <w:br w:type="page"/>
      </w:r>
    </w:p>
    <w:p>
      <w:pPr>
        <w:adjustRightInd w:val="0"/>
        <w:snapToGrid w:val="0"/>
        <w:spacing w:line="600" w:lineRule="exact"/>
        <w:jc w:val="left"/>
        <w:rPr>
          <w:rFonts w:hint="eastAsia" w:ascii="黑体" w:hAnsi="黑体" w:eastAsia="黑体" w:cs="黑体"/>
          <w:bCs/>
          <w:sz w:val="32"/>
          <w:szCs w:val="32"/>
        </w:rPr>
      </w:pPr>
      <w:r>
        <w:rPr>
          <w:rFonts w:hint="eastAsia" w:ascii="黑体" w:hAnsi="黑体" w:eastAsia="黑体" w:cs="黑体"/>
          <w:bCs/>
          <w:sz w:val="32"/>
          <w:szCs w:val="32"/>
        </w:rPr>
        <w:t>附件2</w:t>
      </w:r>
    </w:p>
    <w:p>
      <w:pPr>
        <w:adjustRightInd w:val="0"/>
        <w:snapToGrid w:val="0"/>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rPr>
        <w:t>问题澄清通知</w:t>
      </w:r>
    </w:p>
    <w:p>
      <w:pPr>
        <w:pStyle w:val="40"/>
        <w:rPr>
          <w:rFonts w:hint="eastAsia" w:ascii="仿宋_GB2312" w:hAnsi="仿宋_GB2312" w:eastAsia="仿宋_GB2312" w:cs="仿宋_GB2312"/>
        </w:rPr>
      </w:pPr>
    </w:p>
    <w:p>
      <w:pPr>
        <w:adjustRightInd w:val="0"/>
        <w:snapToGrid w:val="0"/>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编号：</w:t>
      </w:r>
    </w:p>
    <w:p>
      <w:pPr>
        <w:adjustRightInd w:val="0"/>
        <w:snapToGrid w:val="0"/>
        <w:spacing w:line="60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（供应商名称）     </w:t>
      </w:r>
      <w:r>
        <w:rPr>
          <w:rFonts w:hint="eastAsia" w:ascii="仿宋_GB2312" w:hAnsi="仿宋_GB2312" w:eastAsia="仿宋_GB2312" w:cs="仿宋_GB2312"/>
          <w:sz w:val="28"/>
          <w:szCs w:val="28"/>
        </w:rPr>
        <w:t>：</w:t>
      </w:r>
    </w:p>
    <w:p>
      <w:pPr>
        <w:adjustRightInd w:val="0"/>
        <w:snapToGrid w:val="0"/>
        <w:spacing w:line="6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 （项目名称） </w:t>
      </w:r>
      <w:r>
        <w:rPr>
          <w:rFonts w:hint="eastAsia" w:ascii="仿宋_GB2312" w:hAnsi="仿宋_GB2312" w:eastAsia="仿宋_GB2312" w:cs="仿宋_GB2312"/>
          <w:sz w:val="28"/>
          <w:szCs w:val="28"/>
        </w:rPr>
        <w:t>的评审小组，对你方的响应文件进行了仔细的审查，现需你方对下列问题以书面形式予以澄清：</w:t>
      </w:r>
    </w:p>
    <w:p>
      <w:pPr>
        <w:adjustRightInd w:val="0"/>
        <w:snapToGrid w:val="0"/>
        <w:spacing w:line="6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p>
      <w:pPr>
        <w:adjustRightInd w:val="0"/>
        <w:snapToGrid w:val="0"/>
        <w:spacing w:line="6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p>
      <w:pPr>
        <w:adjustRightInd w:val="0"/>
        <w:snapToGrid w:val="0"/>
        <w:spacing w:line="60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请将上述问题的澄清于</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时前递交至</w:t>
      </w:r>
      <w:r>
        <w:rPr>
          <w:rFonts w:hint="eastAsia" w:ascii="仿宋_GB2312" w:hAnsi="仿宋_GB2312" w:eastAsia="仿宋_GB2312" w:cs="仿宋_GB2312"/>
          <w:sz w:val="28"/>
          <w:szCs w:val="28"/>
          <w:u w:val="single"/>
        </w:rPr>
        <w:t xml:space="preserve">  （详细地址） </w:t>
      </w:r>
      <w:r>
        <w:rPr>
          <w:rFonts w:hint="eastAsia" w:ascii="仿宋_GB2312" w:hAnsi="仿宋_GB2312" w:eastAsia="仿宋_GB2312" w:cs="仿宋_GB2312"/>
          <w:sz w:val="28"/>
          <w:szCs w:val="28"/>
        </w:rPr>
        <w:t>。</w:t>
      </w:r>
    </w:p>
    <w:p>
      <w:pPr>
        <w:adjustRightInd w:val="0"/>
        <w:snapToGrid w:val="0"/>
        <w:spacing w:line="600" w:lineRule="exact"/>
        <w:jc w:val="left"/>
        <w:rPr>
          <w:rFonts w:hint="eastAsia" w:ascii="仿宋_GB2312" w:hAnsi="仿宋_GB2312" w:eastAsia="仿宋_GB2312" w:cs="仿宋_GB2312"/>
          <w:b/>
          <w:sz w:val="28"/>
          <w:szCs w:val="28"/>
        </w:rPr>
      </w:pPr>
    </w:p>
    <w:p>
      <w:pPr>
        <w:adjustRightInd w:val="0"/>
        <w:snapToGrid w:val="0"/>
        <w:spacing w:line="600" w:lineRule="exact"/>
        <w:ind w:firstLine="4760" w:firstLineChars="17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u w:val="single"/>
        </w:rPr>
        <w:t xml:space="preserve">（项目名称） </w:t>
      </w:r>
      <w:r>
        <w:rPr>
          <w:rFonts w:hint="eastAsia" w:ascii="仿宋_GB2312" w:hAnsi="仿宋_GB2312" w:eastAsia="仿宋_GB2312" w:cs="仿宋_GB2312"/>
          <w:sz w:val="28"/>
          <w:szCs w:val="28"/>
        </w:rPr>
        <w:t>评审小组</w:t>
      </w:r>
    </w:p>
    <w:p>
      <w:pPr>
        <w:adjustRightInd w:val="0"/>
        <w:snapToGrid w:val="0"/>
        <w:spacing w:line="600" w:lineRule="exact"/>
        <w:ind w:firstLine="4760" w:firstLineChars="17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评审小组：</w:t>
      </w:r>
      <w:r>
        <w:rPr>
          <w:rFonts w:hint="eastAsia" w:ascii="仿宋_GB2312" w:hAnsi="仿宋_GB2312" w:eastAsia="仿宋_GB2312" w:cs="仿宋_GB2312"/>
          <w:b/>
          <w:sz w:val="28"/>
          <w:szCs w:val="28"/>
          <w:u w:val="single"/>
        </w:rPr>
        <w:t xml:space="preserve">          </w:t>
      </w:r>
      <w:r>
        <w:rPr>
          <w:rFonts w:hint="eastAsia" w:ascii="仿宋_GB2312" w:hAnsi="仿宋_GB2312" w:eastAsia="仿宋_GB2312" w:cs="仿宋_GB2312"/>
          <w:sz w:val="28"/>
          <w:szCs w:val="28"/>
        </w:rPr>
        <w:t>（签字）</w:t>
      </w:r>
    </w:p>
    <w:p>
      <w:pPr>
        <w:wordWrap w:val="0"/>
        <w:adjustRightInd w:val="0"/>
        <w:snapToGrid w:val="0"/>
        <w:spacing w:line="600" w:lineRule="exact"/>
        <w:jc w:val="right"/>
        <w:rPr>
          <w:rFonts w:hint="eastAsia" w:ascii="仿宋_GB2312" w:eastAsia="仿宋_GB2312" w:hAnsiTheme="majorEastAsia"/>
          <w:sz w:val="28"/>
          <w:szCs w:val="28"/>
        </w:rPr>
      </w:pP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日        </w:t>
      </w:r>
    </w:p>
    <w:p>
      <w:pPr>
        <w:rPr>
          <w:rFonts w:hint="eastAsia" w:asciiTheme="majorEastAsia" w:hAnsiTheme="majorEastAsia" w:eastAsiaTheme="majorEastAsia"/>
          <w:b/>
          <w:sz w:val="28"/>
          <w:szCs w:val="28"/>
        </w:rPr>
      </w:pPr>
      <w:r>
        <w:rPr>
          <w:rFonts w:asciiTheme="majorEastAsia" w:hAnsiTheme="majorEastAsia" w:eastAsiaTheme="majorEastAsia"/>
          <w:b/>
          <w:sz w:val="28"/>
          <w:szCs w:val="28"/>
        </w:rPr>
        <w:br w:type="page"/>
      </w:r>
    </w:p>
    <w:p>
      <w:pPr>
        <w:adjustRightInd w:val="0"/>
        <w:snapToGrid w:val="0"/>
        <w:spacing w:line="600" w:lineRule="exact"/>
        <w:jc w:val="left"/>
        <w:rPr>
          <w:rFonts w:hint="eastAsia" w:ascii="黑体" w:hAnsi="黑体" w:eastAsia="黑体" w:cs="黑体"/>
          <w:bCs/>
          <w:sz w:val="32"/>
          <w:szCs w:val="32"/>
        </w:rPr>
      </w:pPr>
      <w:r>
        <w:rPr>
          <w:rFonts w:hint="eastAsia" w:ascii="黑体" w:hAnsi="黑体" w:eastAsia="黑体" w:cs="黑体"/>
          <w:bCs/>
          <w:sz w:val="32"/>
          <w:szCs w:val="32"/>
        </w:rPr>
        <w:t>附件3</w:t>
      </w:r>
    </w:p>
    <w:p>
      <w:pPr>
        <w:adjustRightInd w:val="0"/>
        <w:snapToGrid w:val="0"/>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rPr>
        <w:t>问题的澄清</w:t>
      </w:r>
    </w:p>
    <w:p>
      <w:pPr>
        <w:pStyle w:val="40"/>
      </w:pPr>
    </w:p>
    <w:p>
      <w:pPr>
        <w:adjustRightInd w:val="0"/>
        <w:snapToGrid w:val="0"/>
        <w:spacing w:line="600" w:lineRule="exact"/>
        <w:jc w:val="left"/>
        <w:rPr>
          <w:rFonts w:hint="eastAsia" w:ascii="仿宋_GB2312" w:eastAsia="仿宋_GB2312" w:hAnsiTheme="majorEastAsia"/>
          <w:sz w:val="28"/>
          <w:szCs w:val="28"/>
        </w:rPr>
      </w:pPr>
      <w:r>
        <w:rPr>
          <w:rFonts w:hint="eastAsia" w:ascii="仿宋_GB2312" w:eastAsia="仿宋_GB2312" w:hAnsiTheme="majorEastAsia"/>
          <w:sz w:val="28"/>
          <w:szCs w:val="28"/>
        </w:rPr>
        <w:t>编号：</w:t>
      </w:r>
    </w:p>
    <w:p>
      <w:pPr>
        <w:adjustRightInd w:val="0"/>
        <w:snapToGrid w:val="0"/>
        <w:spacing w:line="600" w:lineRule="exact"/>
        <w:jc w:val="left"/>
        <w:rPr>
          <w:rFonts w:hint="eastAsia" w:asciiTheme="majorEastAsia" w:hAnsiTheme="majorEastAsia" w:eastAsiaTheme="majorEastAsia"/>
          <w:b/>
          <w:sz w:val="28"/>
          <w:szCs w:val="28"/>
        </w:rPr>
      </w:pPr>
      <w:r>
        <w:rPr>
          <w:rFonts w:hint="eastAsia" w:ascii="仿宋_GB2312" w:eastAsia="仿宋_GB2312" w:hAnsiTheme="majorEastAsia"/>
          <w:sz w:val="28"/>
          <w:szCs w:val="28"/>
          <w:u w:val="single"/>
        </w:rPr>
        <w:t>（项目名称）</w:t>
      </w:r>
      <w:r>
        <w:rPr>
          <w:rFonts w:hint="eastAsia" w:ascii="仿宋_GB2312" w:eastAsia="仿宋_GB2312" w:hAnsiTheme="majorEastAsia"/>
          <w:sz w:val="28"/>
          <w:szCs w:val="28"/>
        </w:rPr>
        <w:t>评审小组：</w:t>
      </w:r>
    </w:p>
    <w:p>
      <w:pPr>
        <w:adjustRightInd w:val="0"/>
        <w:snapToGrid w:val="0"/>
        <w:spacing w:line="600" w:lineRule="exact"/>
        <w:jc w:val="left"/>
        <w:rPr>
          <w:rFonts w:hint="eastAsia" w:ascii="仿宋_GB2312" w:eastAsia="仿宋_GB2312" w:hAnsiTheme="majorEastAsia"/>
          <w:sz w:val="28"/>
          <w:szCs w:val="28"/>
        </w:rPr>
      </w:pPr>
      <w:r>
        <w:rPr>
          <w:rFonts w:hint="eastAsia" w:ascii="仿宋_GB2312" w:eastAsia="仿宋_GB2312" w:hAnsiTheme="majorEastAsia"/>
          <w:sz w:val="28"/>
          <w:szCs w:val="28"/>
        </w:rPr>
        <w:t xml:space="preserve">    问题澄清通知（编号：</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）已收悉，现澄清如下：</w:t>
      </w:r>
    </w:p>
    <w:p>
      <w:pPr>
        <w:adjustRightInd w:val="0"/>
        <w:snapToGrid w:val="0"/>
        <w:spacing w:line="600" w:lineRule="exact"/>
        <w:ind w:firstLine="570"/>
        <w:jc w:val="left"/>
        <w:rPr>
          <w:rFonts w:hint="eastAsia" w:ascii="仿宋_GB2312" w:eastAsia="仿宋_GB2312" w:hAnsiTheme="majorEastAsia"/>
          <w:sz w:val="28"/>
          <w:szCs w:val="28"/>
        </w:rPr>
      </w:pPr>
      <w:r>
        <w:rPr>
          <w:rFonts w:hint="eastAsia" w:ascii="仿宋_GB2312" w:eastAsia="仿宋_GB2312" w:hAnsiTheme="majorEastAsia"/>
          <w:sz w:val="28"/>
          <w:szCs w:val="28"/>
        </w:rPr>
        <w:t>1.</w:t>
      </w:r>
    </w:p>
    <w:p>
      <w:pPr>
        <w:adjustRightInd w:val="0"/>
        <w:snapToGrid w:val="0"/>
        <w:spacing w:line="600" w:lineRule="exact"/>
        <w:ind w:firstLine="570"/>
        <w:jc w:val="left"/>
        <w:rPr>
          <w:rFonts w:hint="eastAsia" w:ascii="仿宋_GB2312" w:eastAsia="仿宋_GB2312" w:hAnsiTheme="majorEastAsia"/>
          <w:sz w:val="28"/>
          <w:szCs w:val="28"/>
        </w:rPr>
      </w:pPr>
      <w:r>
        <w:rPr>
          <w:rFonts w:hint="eastAsia" w:ascii="仿宋_GB2312" w:eastAsia="仿宋_GB2312" w:hAnsiTheme="majorEastAsia"/>
          <w:sz w:val="28"/>
          <w:szCs w:val="28"/>
        </w:rPr>
        <w:t>2.</w:t>
      </w:r>
    </w:p>
    <w:p>
      <w:pPr>
        <w:adjustRightInd w:val="0"/>
        <w:snapToGrid w:val="0"/>
        <w:spacing w:line="600" w:lineRule="exact"/>
        <w:ind w:firstLine="570"/>
        <w:jc w:val="left"/>
        <w:rPr>
          <w:rFonts w:hint="eastAsia" w:asciiTheme="majorEastAsia" w:hAnsiTheme="majorEastAsia" w:eastAsiaTheme="majorEastAsia"/>
          <w:b/>
          <w:sz w:val="28"/>
          <w:szCs w:val="28"/>
        </w:rPr>
      </w:pPr>
    </w:p>
    <w:p>
      <w:pPr>
        <w:adjustRightInd w:val="0"/>
        <w:snapToGrid w:val="0"/>
        <w:spacing w:line="600" w:lineRule="exact"/>
        <w:ind w:firstLine="2520" w:firstLineChars="900"/>
        <w:jc w:val="left"/>
        <w:rPr>
          <w:rFonts w:hint="eastAsia" w:ascii="仿宋_GB2312" w:eastAsia="仿宋_GB2312" w:hAnsiTheme="majorEastAsia"/>
          <w:sz w:val="28"/>
          <w:szCs w:val="28"/>
        </w:rPr>
      </w:pPr>
      <w:r>
        <w:rPr>
          <w:rFonts w:hint="eastAsia" w:ascii="仿宋_GB2312" w:eastAsia="仿宋_GB2312" w:hAnsiTheme="majorEastAsia"/>
          <w:sz w:val="28"/>
          <w:szCs w:val="28"/>
        </w:rPr>
        <w:t>供应商：</w:t>
      </w:r>
      <w:r>
        <w:rPr>
          <w:rFonts w:hint="eastAsia" w:asciiTheme="majorEastAsia" w:hAnsiTheme="majorEastAsia" w:eastAsiaTheme="majorEastAsia"/>
          <w:b/>
          <w:sz w:val="28"/>
          <w:szCs w:val="28"/>
          <w:u w:val="single"/>
        </w:rPr>
        <w:t xml:space="preserve">                        </w:t>
      </w:r>
      <w:r>
        <w:rPr>
          <w:rFonts w:hint="eastAsia" w:ascii="仿宋_GB2312" w:eastAsia="仿宋_GB2312" w:hAnsiTheme="majorEastAsia"/>
          <w:sz w:val="28"/>
          <w:szCs w:val="28"/>
        </w:rPr>
        <w:t>（公章）</w:t>
      </w:r>
    </w:p>
    <w:p>
      <w:pPr>
        <w:adjustRightInd w:val="0"/>
        <w:snapToGrid w:val="0"/>
        <w:spacing w:line="600" w:lineRule="exact"/>
        <w:ind w:firstLine="2520" w:firstLineChars="900"/>
        <w:jc w:val="left"/>
        <w:rPr>
          <w:rFonts w:hint="eastAsia" w:asciiTheme="majorEastAsia" w:hAnsiTheme="majorEastAsia" w:eastAsiaTheme="majorEastAsia"/>
          <w:b/>
          <w:sz w:val="28"/>
          <w:szCs w:val="28"/>
        </w:rPr>
      </w:pPr>
      <w:r>
        <w:rPr>
          <w:rFonts w:hint="eastAsia" w:ascii="仿宋_GB2312" w:eastAsia="仿宋_GB2312" w:hAnsiTheme="majorEastAsia"/>
          <w:sz w:val="28"/>
          <w:szCs w:val="28"/>
        </w:rPr>
        <w:t>或</w:t>
      </w:r>
    </w:p>
    <w:p>
      <w:pPr>
        <w:adjustRightInd w:val="0"/>
        <w:snapToGrid w:val="0"/>
        <w:spacing w:line="600" w:lineRule="exact"/>
        <w:ind w:firstLine="2520" w:firstLineChars="900"/>
        <w:jc w:val="left"/>
        <w:rPr>
          <w:rFonts w:hint="eastAsia" w:ascii="仿宋_GB2312" w:eastAsia="仿宋_GB2312" w:hAnsiTheme="majorEastAsia"/>
          <w:sz w:val="28"/>
          <w:szCs w:val="28"/>
        </w:rPr>
      </w:pPr>
      <w:r>
        <w:rPr>
          <w:rFonts w:hint="eastAsia" w:ascii="仿宋_GB2312" w:eastAsia="仿宋_GB2312" w:hAnsiTheme="majorEastAsia"/>
          <w:sz w:val="28"/>
          <w:szCs w:val="28"/>
        </w:rPr>
        <w:t>法定代表人或委托代理人：</w:t>
      </w:r>
      <w:r>
        <w:rPr>
          <w:rFonts w:hint="eastAsia" w:asciiTheme="majorEastAsia" w:hAnsiTheme="majorEastAsia" w:eastAsiaTheme="majorEastAsia"/>
          <w:b/>
          <w:sz w:val="28"/>
          <w:szCs w:val="28"/>
          <w:u w:val="single"/>
        </w:rPr>
        <w:t xml:space="preserve">          </w:t>
      </w:r>
      <w:r>
        <w:rPr>
          <w:rFonts w:hint="eastAsia" w:ascii="仿宋_GB2312" w:eastAsia="仿宋_GB2312" w:hAnsiTheme="majorEastAsia"/>
          <w:sz w:val="28"/>
          <w:szCs w:val="28"/>
        </w:rPr>
        <w:t>（签字）</w:t>
      </w:r>
    </w:p>
    <w:p>
      <w:pPr>
        <w:adjustRightInd w:val="0"/>
        <w:snapToGrid w:val="0"/>
        <w:spacing w:line="600" w:lineRule="exact"/>
        <w:ind w:firstLine="5451" w:firstLineChars="1947"/>
        <w:jc w:val="left"/>
        <w:rPr>
          <w:rFonts w:hint="eastAsia" w:ascii="仿宋_GB2312" w:eastAsia="仿宋_GB2312" w:hAnsiTheme="majorEastAsia"/>
          <w:sz w:val="28"/>
          <w:szCs w:val="28"/>
        </w:rPr>
      </w:pPr>
      <w:r>
        <w:rPr>
          <w:rFonts w:hint="eastAsia" w:ascii="仿宋_GB2312" w:eastAsia="仿宋_GB2312" w:hAnsiTheme="majorEastAsia"/>
          <w:sz w:val="28"/>
          <w:szCs w:val="28"/>
        </w:rPr>
        <w:t xml:space="preserve"> </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p>
    <w:p>
      <w:pPr>
        <w:rPr>
          <w:rFonts w:hint="eastAsia" w:ascii="仿宋_GB2312" w:eastAsia="仿宋_GB2312" w:hAnsiTheme="majorEastAsia"/>
          <w:sz w:val="28"/>
          <w:szCs w:val="28"/>
        </w:rPr>
      </w:pPr>
      <w:r>
        <w:rPr>
          <w:rFonts w:ascii="仿宋_GB2312" w:eastAsia="仿宋_GB2312" w:hAnsiTheme="majorEastAsia"/>
          <w:sz w:val="28"/>
          <w:szCs w:val="28"/>
        </w:rPr>
        <w:br w:type="page"/>
      </w:r>
    </w:p>
    <w:p>
      <w:pPr>
        <w:adjustRightInd w:val="0"/>
        <w:snapToGrid w:val="0"/>
        <w:spacing w:line="600" w:lineRule="exact"/>
        <w:jc w:val="left"/>
        <w:rPr>
          <w:rFonts w:hint="eastAsia" w:ascii="黑体" w:hAnsi="黑体" w:eastAsia="黑体" w:cs="黑体"/>
          <w:bCs/>
          <w:sz w:val="32"/>
          <w:szCs w:val="32"/>
        </w:rPr>
      </w:pPr>
      <w:r>
        <w:rPr>
          <w:rFonts w:hint="eastAsia" w:ascii="黑体" w:hAnsi="黑体" w:eastAsia="黑体" w:cs="黑体"/>
          <w:bCs/>
          <w:sz w:val="32"/>
          <w:szCs w:val="32"/>
        </w:rPr>
        <w:t>附件4</w:t>
      </w:r>
    </w:p>
    <w:p>
      <w:pPr>
        <w:adjustRightInd w:val="0"/>
        <w:snapToGrid w:val="0"/>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rPr>
        <w:t>成交通知书</w:t>
      </w:r>
    </w:p>
    <w:p>
      <w:pPr>
        <w:pStyle w:val="40"/>
      </w:pPr>
    </w:p>
    <w:p>
      <w:pPr>
        <w:pStyle w:val="40"/>
        <w:ind w:firstLine="3465" w:firstLineChars="1650"/>
        <w:rPr>
          <w:rFonts w:ascii="仿宋_GB2312" w:eastAsia="仿宋_GB2312"/>
        </w:rPr>
      </w:pPr>
      <w:r>
        <w:rPr>
          <w:rFonts w:hint="eastAsia" w:ascii="仿宋_GB2312" w:eastAsia="仿宋_GB2312"/>
        </w:rPr>
        <w:t>（编号：</w:t>
      </w:r>
      <w:r>
        <w:rPr>
          <w:rFonts w:ascii="仿宋_GB2312" w:eastAsia="仿宋_GB2312"/>
        </w:rPr>
        <w:t xml:space="preserve">        </w:t>
      </w:r>
      <w:r>
        <w:rPr>
          <w:rFonts w:hint="eastAsia" w:ascii="仿宋_GB2312" w:eastAsia="仿宋_GB2312"/>
        </w:rPr>
        <w:t>）</w:t>
      </w:r>
    </w:p>
    <w:p>
      <w:pPr>
        <w:adjustRightInd w:val="0"/>
        <w:snapToGrid w:val="0"/>
        <w:spacing w:line="600" w:lineRule="exact"/>
        <w:jc w:val="left"/>
        <w:rPr>
          <w:rFonts w:hint="eastAsia" w:ascii="仿宋_GB2312" w:eastAsia="仿宋_GB2312" w:hAnsiTheme="majorEastAsia"/>
          <w:sz w:val="28"/>
          <w:szCs w:val="28"/>
        </w:rPr>
      </w:pPr>
      <w:r>
        <w:rPr>
          <w:rFonts w:hint="eastAsia" w:ascii="仿宋_GB2312" w:eastAsia="仿宋_GB2312" w:hAnsiTheme="majorEastAsia"/>
          <w:sz w:val="28"/>
          <w:szCs w:val="28"/>
          <w:u w:val="single"/>
        </w:rPr>
        <w:t xml:space="preserve">   （成交供应商名称）    </w:t>
      </w:r>
      <w:r>
        <w:rPr>
          <w:rFonts w:hint="eastAsia" w:ascii="仿宋_GB2312" w:eastAsia="仿宋_GB2312" w:hAnsiTheme="majorEastAsia"/>
          <w:sz w:val="28"/>
          <w:szCs w:val="28"/>
        </w:rPr>
        <w:t>：</w:t>
      </w:r>
    </w:p>
    <w:p>
      <w:pPr>
        <w:adjustRightInd w:val="0"/>
        <w:snapToGrid w:val="0"/>
        <w:spacing w:line="600" w:lineRule="exact"/>
        <w:ind w:firstLine="570"/>
        <w:jc w:val="left"/>
        <w:rPr>
          <w:rFonts w:hint="eastAsia" w:ascii="仿宋_GB2312" w:eastAsia="仿宋_GB2312" w:hAnsiTheme="majorEastAsia"/>
          <w:sz w:val="28"/>
          <w:szCs w:val="28"/>
        </w:rPr>
      </w:pPr>
      <w:r>
        <w:rPr>
          <w:rFonts w:hint="eastAsia" w:ascii="仿宋_GB2312" w:eastAsia="仿宋_GB2312" w:hAnsiTheme="majorEastAsia"/>
          <w:sz w:val="28"/>
          <w:szCs w:val="28"/>
        </w:rPr>
        <w:t>你方递交的响应文件已被我方接受，你方已被确认为</w:t>
      </w:r>
      <w:r>
        <w:rPr>
          <w:rFonts w:hint="eastAsia" w:ascii="仿宋_GB2312" w:eastAsia="仿宋_GB2312" w:hAnsiTheme="majorEastAsia"/>
          <w:sz w:val="28"/>
          <w:szCs w:val="28"/>
          <w:u w:val="single"/>
        </w:rPr>
        <w:t xml:space="preserve">      项目</w:t>
      </w:r>
      <w:r>
        <w:rPr>
          <w:rFonts w:hint="eastAsia" w:ascii="仿宋_GB2312" w:eastAsia="仿宋_GB2312" w:hAnsiTheme="majorEastAsia"/>
          <w:sz w:val="28"/>
          <w:szCs w:val="28"/>
        </w:rPr>
        <w:t>的成交供应商。</w:t>
      </w:r>
    </w:p>
    <w:p>
      <w:pPr>
        <w:adjustRightInd w:val="0"/>
        <w:snapToGrid w:val="0"/>
        <w:spacing w:line="600" w:lineRule="exact"/>
        <w:jc w:val="left"/>
        <w:rPr>
          <w:rFonts w:hint="eastAsia" w:ascii="仿宋_GB2312" w:eastAsia="仿宋_GB2312" w:hAnsiTheme="majorEastAsia"/>
          <w:sz w:val="28"/>
          <w:szCs w:val="28"/>
        </w:rPr>
      </w:pPr>
      <w:r>
        <w:rPr>
          <w:rFonts w:hint="eastAsia" w:ascii="仿宋_GB2312" w:eastAsia="仿宋_GB2312" w:hAnsiTheme="majorEastAsia"/>
          <w:sz w:val="28"/>
          <w:szCs w:val="28"/>
        </w:rPr>
        <w:t>成交金额，大写：</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，小写：</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 xml:space="preserve"> 。</w:t>
      </w:r>
    </w:p>
    <w:p>
      <w:pPr>
        <w:adjustRightInd w:val="0"/>
        <w:snapToGrid w:val="0"/>
        <w:spacing w:line="600" w:lineRule="exact"/>
        <w:jc w:val="left"/>
        <w:rPr>
          <w:rFonts w:hint="eastAsia" w:ascii="仿宋_GB2312" w:eastAsia="仿宋_GB2312" w:hAnsiTheme="majorEastAsia"/>
          <w:sz w:val="28"/>
          <w:szCs w:val="28"/>
        </w:rPr>
      </w:pPr>
      <w:r>
        <w:rPr>
          <w:rFonts w:hint="eastAsia" w:ascii="仿宋_GB2312" w:eastAsia="仿宋_GB2312" w:hAnsiTheme="majorEastAsia"/>
          <w:sz w:val="28"/>
          <w:szCs w:val="28"/>
        </w:rPr>
        <w:t>请你方在接到本通知书后的</w:t>
      </w:r>
      <w:r>
        <w:rPr>
          <w:rFonts w:hint="eastAsia" w:ascii="仿宋_GB2312" w:eastAsia="仿宋_GB2312" w:hAnsiTheme="majorEastAsia"/>
          <w:sz w:val="28"/>
          <w:szCs w:val="28"/>
          <w:u w:val="single"/>
        </w:rPr>
        <w:t>30</w:t>
      </w:r>
      <w:r>
        <w:rPr>
          <w:rFonts w:hint="eastAsia" w:ascii="仿宋_GB2312" w:eastAsia="仿宋_GB2312" w:hAnsiTheme="majorEastAsia"/>
          <w:sz w:val="28"/>
          <w:szCs w:val="28"/>
        </w:rPr>
        <w:t>日内与我方签订采购合同，逾期视为自动放弃成交资格。</w:t>
      </w:r>
    </w:p>
    <w:p>
      <w:pPr>
        <w:adjustRightInd w:val="0"/>
        <w:snapToGrid w:val="0"/>
        <w:spacing w:line="600" w:lineRule="exact"/>
        <w:jc w:val="left"/>
        <w:rPr>
          <w:rFonts w:hint="eastAsia" w:asciiTheme="majorEastAsia" w:hAnsiTheme="majorEastAsia" w:eastAsiaTheme="majorEastAsia"/>
          <w:b/>
          <w:sz w:val="28"/>
          <w:szCs w:val="28"/>
        </w:rPr>
      </w:pPr>
    </w:p>
    <w:p>
      <w:pPr>
        <w:adjustRightInd w:val="0"/>
        <w:snapToGrid w:val="0"/>
        <w:spacing w:line="600" w:lineRule="exact"/>
        <w:ind w:firstLine="4760" w:firstLineChars="1700"/>
        <w:jc w:val="left"/>
        <w:rPr>
          <w:rFonts w:hint="eastAsia" w:ascii="仿宋_GB2312" w:eastAsia="仿宋_GB2312" w:hAnsiTheme="majorEastAsia"/>
          <w:sz w:val="28"/>
          <w:szCs w:val="28"/>
        </w:rPr>
      </w:pPr>
      <w:r>
        <w:rPr>
          <w:rFonts w:hint="eastAsia" w:ascii="仿宋_GB2312" w:eastAsia="仿宋_GB2312" w:hAnsiTheme="majorEastAsia"/>
          <w:sz w:val="28"/>
          <w:szCs w:val="28"/>
        </w:rPr>
        <w:t>采购人：</w:t>
      </w:r>
      <w:r>
        <w:rPr>
          <w:rFonts w:hint="eastAsia" w:asciiTheme="majorEastAsia" w:hAnsiTheme="majorEastAsia" w:eastAsiaTheme="majorEastAsia"/>
          <w:b/>
          <w:sz w:val="28"/>
          <w:szCs w:val="28"/>
          <w:u w:val="single"/>
        </w:rPr>
        <w:t xml:space="preserve">          </w:t>
      </w:r>
      <w:r>
        <w:rPr>
          <w:rFonts w:hint="eastAsia" w:ascii="仿宋_GB2312" w:eastAsia="仿宋_GB2312" w:hAnsiTheme="majorEastAsia"/>
          <w:sz w:val="28"/>
          <w:szCs w:val="28"/>
        </w:rPr>
        <w:t>（公章）</w:t>
      </w:r>
    </w:p>
    <w:p>
      <w:pPr>
        <w:adjustRightInd w:val="0"/>
        <w:snapToGrid w:val="0"/>
        <w:spacing w:line="600" w:lineRule="exact"/>
        <w:ind w:firstLine="5451" w:firstLineChars="1947"/>
        <w:jc w:val="left"/>
        <w:rPr>
          <w:rFonts w:hint="eastAsia" w:ascii="仿宋_GB2312" w:eastAsia="仿宋_GB2312" w:hAnsiTheme="majorEastAsia"/>
          <w:sz w:val="28"/>
          <w:szCs w:val="28"/>
        </w:rPr>
      </w:pPr>
      <w:r>
        <w:rPr>
          <w:rFonts w:hint="eastAsia" w:ascii="仿宋_GB2312" w:eastAsia="仿宋_GB2312" w:hAnsiTheme="majorEastAsia"/>
          <w:sz w:val="28"/>
          <w:szCs w:val="28"/>
        </w:rPr>
        <w:t xml:space="preserve"> </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p>
    <w:p>
      <w:pPr>
        <w:rPr>
          <w:rFonts w:hint="eastAsia" w:asciiTheme="majorEastAsia" w:hAnsiTheme="majorEastAsia" w:eastAsiaTheme="majorEastAsia"/>
          <w:b/>
          <w:sz w:val="28"/>
          <w:szCs w:val="28"/>
        </w:rPr>
      </w:pPr>
      <w:r>
        <w:rPr>
          <w:rFonts w:asciiTheme="majorEastAsia" w:hAnsiTheme="majorEastAsia" w:eastAsiaTheme="majorEastAsia"/>
          <w:b/>
          <w:sz w:val="28"/>
          <w:szCs w:val="28"/>
        </w:rPr>
        <w:br w:type="page"/>
      </w:r>
    </w:p>
    <w:p>
      <w:pPr>
        <w:adjustRightInd w:val="0"/>
        <w:snapToGrid w:val="0"/>
        <w:spacing w:line="600" w:lineRule="exact"/>
        <w:jc w:val="left"/>
        <w:rPr>
          <w:rFonts w:hint="eastAsia" w:ascii="黑体" w:hAnsi="黑体" w:eastAsia="黑体" w:cs="黑体"/>
          <w:bCs/>
          <w:sz w:val="32"/>
          <w:szCs w:val="32"/>
        </w:rPr>
      </w:pPr>
      <w:r>
        <w:rPr>
          <w:rFonts w:hint="eastAsia" w:ascii="黑体" w:hAnsi="黑体" w:eastAsia="黑体" w:cs="黑体"/>
          <w:bCs/>
          <w:sz w:val="32"/>
          <w:szCs w:val="32"/>
        </w:rPr>
        <w:t>附件5</w:t>
      </w:r>
    </w:p>
    <w:p>
      <w:pPr>
        <w:adjustRightInd w:val="0"/>
        <w:snapToGrid w:val="0"/>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rPr>
        <w:t>关于**项目异议书</w:t>
      </w:r>
    </w:p>
    <w:p>
      <w:pPr>
        <w:widowControl/>
        <w:spacing w:line="408" w:lineRule="auto"/>
        <w:jc w:val="center"/>
        <w:rPr>
          <w:rFonts w:hint="eastAsia" w:hAnsi="宋体" w:cs="仿宋_GB2312"/>
          <w:kern w:val="0"/>
          <w:sz w:val="24"/>
        </w:rPr>
      </w:pPr>
      <w:r>
        <w:rPr>
          <w:rFonts w:hAnsi="宋体" w:cs="仿宋_GB2312"/>
          <w:kern w:val="0"/>
          <w:sz w:val="24"/>
        </w:rPr>
        <w:t>(参考格式)</w:t>
      </w:r>
    </w:p>
    <w:p>
      <w:pPr>
        <w:rPr>
          <w:kern w:val="0"/>
          <w:sz w:val="28"/>
          <w:szCs w:val="28"/>
        </w:rPr>
      </w:pPr>
      <w:r>
        <w:rPr>
          <w:rFonts w:hint="eastAsia"/>
          <w:kern w:val="0"/>
          <w:sz w:val="28"/>
          <w:szCs w:val="28"/>
        </w:rPr>
        <w:t>项目名称：</w:t>
      </w:r>
    </w:p>
    <w:p>
      <w:pPr>
        <w:widowControl/>
        <w:jc w:val="left"/>
        <w:rPr>
          <w:rFonts w:hint="eastAsia" w:hAnsi="宋体" w:cs="宋体"/>
          <w:kern w:val="0"/>
          <w:sz w:val="28"/>
          <w:szCs w:val="28"/>
        </w:rPr>
      </w:pPr>
      <w:r>
        <w:rPr>
          <w:rFonts w:hint="eastAsia" w:hAnsi="宋体" w:cs="仿宋_GB2312"/>
          <w:bCs/>
          <w:kern w:val="0"/>
          <w:sz w:val="28"/>
          <w:szCs w:val="28"/>
        </w:rPr>
        <w:t>异议人：</w:t>
      </w:r>
    </w:p>
    <w:p>
      <w:pPr>
        <w:widowControl/>
        <w:jc w:val="left"/>
        <w:rPr>
          <w:rFonts w:hint="eastAsia" w:hAnsi="宋体" w:cs="宋体"/>
          <w:kern w:val="0"/>
          <w:sz w:val="28"/>
          <w:szCs w:val="28"/>
        </w:rPr>
      </w:pPr>
      <w:r>
        <w:rPr>
          <w:rFonts w:hint="eastAsia" w:hAnsi="宋体" w:cs="仿宋_GB2312"/>
          <w:kern w:val="0"/>
          <w:sz w:val="28"/>
          <w:szCs w:val="28"/>
        </w:rPr>
        <w:t xml:space="preserve">住所地：   </w:t>
      </w:r>
      <w:r>
        <w:rPr>
          <w:rFonts w:hAnsi="宋体" w:cs="仿宋_GB2312"/>
          <w:kern w:val="0"/>
          <w:sz w:val="28"/>
          <w:szCs w:val="28"/>
        </w:rPr>
        <w:t xml:space="preserve"> 邮编：</w:t>
      </w:r>
    </w:p>
    <w:p>
      <w:pPr>
        <w:widowControl/>
        <w:jc w:val="left"/>
        <w:rPr>
          <w:rFonts w:hint="eastAsia" w:hAnsi="宋体" w:eastAsia="宋体" w:cs="宋体"/>
          <w:kern w:val="0"/>
          <w:sz w:val="28"/>
          <w:szCs w:val="28"/>
        </w:rPr>
      </w:pPr>
      <w:r>
        <w:rPr>
          <w:rFonts w:hint="eastAsia" w:hAnsi="宋体" w:cs="仿宋_GB2312"/>
          <w:kern w:val="0"/>
          <w:sz w:val="28"/>
          <w:szCs w:val="28"/>
        </w:rPr>
        <w:t>法定代表人：      联系电话：</w:t>
      </w:r>
    </w:p>
    <w:p>
      <w:pPr>
        <w:widowControl/>
        <w:jc w:val="left"/>
        <w:rPr>
          <w:rFonts w:hint="eastAsia" w:hAnsi="宋体" w:cs="宋体"/>
          <w:kern w:val="0"/>
          <w:sz w:val="28"/>
          <w:szCs w:val="28"/>
        </w:rPr>
      </w:pPr>
      <w:r>
        <w:rPr>
          <w:rFonts w:hint="eastAsia" w:hAnsi="宋体" w:cs="仿宋_GB2312"/>
          <w:kern w:val="0"/>
          <w:sz w:val="28"/>
          <w:szCs w:val="28"/>
        </w:rPr>
        <w:t xml:space="preserve">异议人授权代表：   </w:t>
      </w:r>
      <w:r>
        <w:rPr>
          <w:rFonts w:hAnsi="宋体" w:cs="仿宋_GB2312"/>
          <w:kern w:val="0"/>
          <w:sz w:val="28"/>
          <w:szCs w:val="28"/>
        </w:rPr>
        <w:t xml:space="preserve"> 性别：</w:t>
      </w:r>
    </w:p>
    <w:p>
      <w:pPr>
        <w:widowControl/>
        <w:jc w:val="left"/>
        <w:rPr>
          <w:rFonts w:hint="eastAsia" w:hAnsi="宋体" w:cs="宋体"/>
          <w:kern w:val="0"/>
          <w:sz w:val="28"/>
          <w:szCs w:val="28"/>
        </w:rPr>
      </w:pPr>
      <w:r>
        <w:rPr>
          <w:rFonts w:hint="eastAsia" w:hAnsi="宋体" w:cs="仿宋_GB2312"/>
          <w:kern w:val="0"/>
          <w:sz w:val="28"/>
          <w:szCs w:val="28"/>
        </w:rPr>
        <w:t>住址：             联系电话：</w:t>
      </w:r>
    </w:p>
    <w:p>
      <w:pPr>
        <w:widowControl/>
        <w:jc w:val="left"/>
        <w:rPr>
          <w:rFonts w:hint="eastAsia" w:hAnsi="宋体" w:cs="宋体"/>
          <w:kern w:val="0"/>
          <w:sz w:val="28"/>
          <w:szCs w:val="28"/>
        </w:rPr>
      </w:pPr>
      <w:r>
        <w:rPr>
          <w:rFonts w:hint="eastAsia" w:hAnsi="宋体" w:cs="仿宋_GB2312"/>
          <w:bCs/>
          <w:kern w:val="0"/>
          <w:sz w:val="28"/>
          <w:szCs w:val="28"/>
        </w:rPr>
        <w:t>提起异议事项的基本事实：</w:t>
      </w:r>
    </w:p>
    <w:p>
      <w:pPr>
        <w:widowControl/>
        <w:jc w:val="left"/>
        <w:rPr>
          <w:rFonts w:hint="eastAsia" w:hAnsi="宋体" w:cs="宋体"/>
          <w:kern w:val="0"/>
          <w:sz w:val="28"/>
          <w:szCs w:val="28"/>
        </w:rPr>
      </w:pPr>
    </w:p>
    <w:p>
      <w:pPr>
        <w:widowControl/>
        <w:jc w:val="left"/>
        <w:rPr>
          <w:rFonts w:hint="eastAsia" w:hAnsi="宋体" w:cs="宋体"/>
          <w:kern w:val="0"/>
          <w:sz w:val="28"/>
          <w:szCs w:val="28"/>
        </w:rPr>
      </w:pPr>
      <w:r>
        <w:rPr>
          <w:rFonts w:hint="eastAsia" w:hAnsi="宋体" w:cs="仿宋_GB2312"/>
          <w:bCs/>
          <w:kern w:val="0"/>
          <w:sz w:val="28"/>
          <w:szCs w:val="28"/>
        </w:rPr>
        <w:t>相关请求及主张：</w:t>
      </w:r>
    </w:p>
    <w:p>
      <w:pPr>
        <w:widowControl/>
        <w:jc w:val="left"/>
        <w:rPr>
          <w:rFonts w:hint="eastAsia" w:hAnsi="宋体" w:cs="仿宋_GB2312"/>
          <w:kern w:val="0"/>
          <w:sz w:val="28"/>
          <w:szCs w:val="28"/>
          <w:u w:val="single"/>
        </w:rPr>
      </w:pPr>
    </w:p>
    <w:p>
      <w:pPr>
        <w:widowControl/>
        <w:jc w:val="left"/>
        <w:rPr>
          <w:rFonts w:hint="eastAsia" w:hAnsi="宋体" w:cs="宋体"/>
          <w:kern w:val="0"/>
          <w:sz w:val="28"/>
          <w:szCs w:val="28"/>
        </w:rPr>
      </w:pPr>
      <w:r>
        <w:rPr>
          <w:rFonts w:hint="eastAsia" w:hAnsi="宋体" w:cs="仿宋_GB2312"/>
          <w:bCs/>
          <w:kern w:val="0"/>
          <w:sz w:val="28"/>
          <w:szCs w:val="28"/>
        </w:rPr>
        <w:t>有效线索和相关证明材料：</w:t>
      </w:r>
    </w:p>
    <w:p>
      <w:pPr>
        <w:widowControl/>
        <w:jc w:val="left"/>
        <w:rPr>
          <w:rFonts w:hint="eastAsia" w:hAnsi="宋体" w:cs="仿宋_GB2312"/>
          <w:kern w:val="0"/>
          <w:sz w:val="28"/>
          <w:szCs w:val="28"/>
          <w:u w:val="single"/>
        </w:rPr>
      </w:pPr>
    </w:p>
    <w:p>
      <w:pPr>
        <w:widowControl/>
        <w:jc w:val="left"/>
        <w:rPr>
          <w:rFonts w:hint="eastAsia" w:hAnsi="宋体" w:cs="宋体"/>
          <w:kern w:val="0"/>
          <w:sz w:val="28"/>
          <w:szCs w:val="28"/>
        </w:rPr>
      </w:pPr>
      <w:r>
        <w:rPr>
          <w:rFonts w:hint="eastAsia" w:hAnsi="宋体" w:cs="仿宋_GB2312"/>
          <w:bCs/>
          <w:kern w:val="0"/>
          <w:sz w:val="28"/>
          <w:szCs w:val="28"/>
        </w:rPr>
        <w:t>异议提起人与项目有利害关系的证明材料（见说明）：</w:t>
      </w:r>
    </w:p>
    <w:p>
      <w:pPr>
        <w:widowControl/>
        <w:jc w:val="left"/>
        <w:rPr>
          <w:rFonts w:hint="eastAsia" w:hAnsi="宋体" w:cs="宋体"/>
          <w:kern w:val="0"/>
          <w:sz w:val="28"/>
          <w:szCs w:val="28"/>
        </w:rPr>
      </w:pPr>
      <w:r>
        <w:rPr>
          <w:rFonts w:hAnsi="宋体" w:cs="仿宋_GB2312"/>
          <w:kern w:val="0"/>
          <w:sz w:val="28"/>
          <w:szCs w:val="28"/>
        </w:rPr>
        <w:t xml:space="preserve">  此致</w:t>
      </w:r>
    </w:p>
    <w:p>
      <w:pPr>
        <w:widowControl/>
        <w:jc w:val="left"/>
        <w:rPr>
          <w:rFonts w:hint="eastAsia" w:hAnsi="宋体" w:cs="宋体"/>
          <w:kern w:val="0"/>
          <w:sz w:val="28"/>
          <w:szCs w:val="28"/>
        </w:rPr>
      </w:pPr>
      <w:r>
        <w:rPr>
          <w:rFonts w:hint="eastAsia" w:hAnsi="宋体" w:cs="仿宋_GB2312"/>
          <w:kern w:val="0"/>
          <w:sz w:val="28"/>
          <w:szCs w:val="28"/>
          <w:u w:val="single"/>
        </w:rPr>
        <w:t>（采购人）</w:t>
      </w:r>
    </w:p>
    <w:p>
      <w:pPr>
        <w:widowControl/>
        <w:ind w:left="99" w:leftChars="47" w:firstLine="2800" w:firstLineChars="1000"/>
        <w:jc w:val="left"/>
        <w:rPr>
          <w:rFonts w:hint="eastAsia" w:hAnsi="宋体" w:cs="仿宋_GB2312"/>
          <w:kern w:val="0"/>
          <w:sz w:val="28"/>
          <w:szCs w:val="28"/>
        </w:rPr>
      </w:pPr>
    </w:p>
    <w:p>
      <w:pPr>
        <w:widowControl/>
        <w:ind w:left="99" w:leftChars="47" w:firstLine="2800" w:firstLineChars="1000"/>
        <w:jc w:val="left"/>
        <w:rPr>
          <w:rFonts w:hint="eastAsia" w:hAnsi="宋体" w:cs="仿宋_GB2312"/>
          <w:kern w:val="0"/>
          <w:sz w:val="28"/>
          <w:szCs w:val="28"/>
        </w:rPr>
      </w:pPr>
    </w:p>
    <w:p>
      <w:pPr>
        <w:widowControl/>
        <w:ind w:left="99" w:leftChars="47" w:firstLine="2800" w:firstLineChars="1000"/>
        <w:jc w:val="left"/>
        <w:rPr>
          <w:rFonts w:hint="eastAsia" w:hAnsi="宋体" w:cs="宋体"/>
          <w:kern w:val="0"/>
          <w:sz w:val="28"/>
          <w:szCs w:val="28"/>
        </w:rPr>
      </w:pPr>
      <w:r>
        <w:rPr>
          <w:rFonts w:hint="eastAsia" w:hAnsi="宋体" w:cs="仿宋_GB2312"/>
          <w:kern w:val="0"/>
          <w:sz w:val="28"/>
          <w:szCs w:val="28"/>
        </w:rPr>
        <w:t>异议人（公章）：</w:t>
      </w:r>
    </w:p>
    <w:p>
      <w:pPr>
        <w:widowControl/>
        <w:ind w:left="99" w:leftChars="47" w:firstLine="1960" w:firstLineChars="700"/>
        <w:jc w:val="left"/>
        <w:rPr>
          <w:rFonts w:hint="eastAsia" w:hAnsi="宋体" w:cs="仿宋_GB2312"/>
          <w:kern w:val="0"/>
          <w:sz w:val="28"/>
          <w:szCs w:val="28"/>
        </w:rPr>
      </w:pPr>
    </w:p>
    <w:p>
      <w:pPr>
        <w:widowControl/>
        <w:ind w:left="99" w:leftChars="47" w:firstLine="1960" w:firstLineChars="700"/>
        <w:jc w:val="left"/>
        <w:rPr>
          <w:rFonts w:hint="eastAsia" w:hAnsi="宋体" w:cs="仿宋_GB2312"/>
          <w:kern w:val="0"/>
          <w:sz w:val="28"/>
          <w:szCs w:val="28"/>
          <w:u w:val="single"/>
        </w:rPr>
      </w:pPr>
      <w:r>
        <w:rPr>
          <w:rFonts w:hint="eastAsia" w:hAnsi="宋体" w:cs="仿宋_GB2312"/>
          <w:kern w:val="0"/>
          <w:sz w:val="28"/>
          <w:szCs w:val="28"/>
        </w:rPr>
        <w:t>法定代表人或授权代表（签字）</w:t>
      </w:r>
    </w:p>
    <w:p>
      <w:pPr>
        <w:widowControl/>
        <w:ind w:left="99" w:leftChars="47" w:firstLine="1960" w:firstLineChars="700"/>
        <w:jc w:val="left"/>
        <w:rPr>
          <w:rFonts w:hint="eastAsia" w:hAnsi="宋体" w:cs="仿宋_GB2312"/>
          <w:kern w:val="0"/>
          <w:sz w:val="28"/>
          <w:szCs w:val="28"/>
          <w:u w:val="single"/>
        </w:rPr>
      </w:pPr>
    </w:p>
    <w:p>
      <w:pPr>
        <w:widowControl/>
        <w:ind w:firstLine="560" w:firstLineChars="200"/>
        <w:jc w:val="center"/>
        <w:rPr>
          <w:rFonts w:hint="eastAsia" w:hAnsi="宋体" w:cs="宋体"/>
          <w:kern w:val="0"/>
          <w:sz w:val="28"/>
          <w:szCs w:val="28"/>
        </w:rPr>
      </w:pPr>
      <w:r>
        <w:rPr>
          <w:rFonts w:hAnsi="宋体" w:cs="仿宋_GB2312"/>
          <w:kern w:val="0"/>
          <w:sz w:val="28"/>
          <w:szCs w:val="28"/>
        </w:rPr>
        <w:t xml:space="preserve">                                     年    月   日</w:t>
      </w:r>
    </w:p>
    <w:p>
      <w:pPr>
        <w:widowControl/>
        <w:jc w:val="left"/>
        <w:rPr>
          <w:rFonts w:hint="eastAsia" w:hAnsi="宋体" w:cs="仿宋_GB2312"/>
          <w:bCs/>
          <w:kern w:val="0"/>
          <w:sz w:val="24"/>
        </w:rPr>
      </w:pPr>
    </w:p>
    <w:p>
      <w:pPr>
        <w:rPr>
          <w:rFonts w:hint="eastAsia" w:hAnsi="仿宋"/>
          <w:sz w:val="24"/>
        </w:rPr>
      </w:pPr>
      <w:r>
        <w:rPr>
          <w:rFonts w:hint="eastAsia" w:hAnsi="仿宋"/>
          <w:sz w:val="24"/>
        </w:rPr>
        <w:t>说明：</w:t>
      </w:r>
    </w:p>
    <w:p>
      <w:pPr>
        <w:rPr>
          <w:rFonts w:hint="eastAsia" w:hAnsi="仿宋"/>
          <w:sz w:val="24"/>
        </w:rPr>
      </w:pPr>
    </w:p>
    <w:p>
      <w:pPr>
        <w:rPr>
          <w:rFonts w:hint="eastAsia" w:hAnsi="仿宋"/>
          <w:sz w:val="24"/>
        </w:rPr>
      </w:pPr>
      <w:r>
        <w:rPr>
          <w:rFonts w:hAnsi="仿宋"/>
          <w:sz w:val="24"/>
        </w:rPr>
        <w:t>1.异议提起人是法人的，异议书必须由其法定代表人或者授权代表签字并盖章；其他组织或者自然人提出异议的，异议书必须由其主要负责人或者异议提起人本人签字，并附有效身份证明复印件。</w:t>
      </w:r>
    </w:p>
    <w:p>
      <w:pPr>
        <w:rPr>
          <w:rFonts w:hint="eastAsia" w:hAnsi="仿宋"/>
          <w:sz w:val="24"/>
        </w:rPr>
      </w:pPr>
      <w:r>
        <w:rPr>
          <w:rFonts w:hAnsi="仿宋"/>
          <w:sz w:val="24"/>
        </w:rPr>
        <w:t>2.异议提起人可以自己直接提交异议书，也可以委托代理人办理异议事务。代理人办理异议事务时，应当将授权委托书连同异议书一并提交给招标人。授权委托书应当明确有关委托代理权限和事项。</w:t>
      </w:r>
    </w:p>
    <w:p>
      <w:pPr>
        <w:rPr>
          <w:rFonts w:hint="eastAsia" w:hAnsi="仿宋"/>
          <w:sz w:val="24"/>
        </w:rPr>
      </w:pPr>
      <w:r>
        <w:rPr>
          <w:rFonts w:hAnsi="仿宋"/>
          <w:sz w:val="24"/>
        </w:rPr>
        <w:t>3.为证明与异议项目有利害关系，投标人以外的其他异议提起人应当提供相应证明材料：</w:t>
      </w:r>
    </w:p>
    <w:p>
      <w:pPr>
        <w:rPr>
          <w:rFonts w:hint="eastAsia" w:hAnsi="仿宋"/>
          <w:sz w:val="24"/>
        </w:rPr>
      </w:pPr>
      <w:r>
        <w:rPr>
          <w:rFonts w:hint="eastAsia" w:hAnsi="仿宋"/>
          <w:sz w:val="24"/>
        </w:rPr>
        <w:t>（</w:t>
      </w:r>
      <w:r>
        <w:rPr>
          <w:rFonts w:hAnsi="仿宋"/>
          <w:sz w:val="24"/>
        </w:rPr>
        <w:t>1）属潜在投标人的，提交符合法定有关资格要求的证明文件；</w:t>
      </w:r>
    </w:p>
    <w:p>
      <w:pPr>
        <w:rPr>
          <w:rFonts w:hint="eastAsia" w:hAnsi="仿宋"/>
          <w:sz w:val="24"/>
        </w:rPr>
      </w:pPr>
      <w:r>
        <w:rPr>
          <w:rFonts w:hint="eastAsia" w:hAnsi="仿宋"/>
          <w:sz w:val="24"/>
        </w:rPr>
        <w:t>（</w:t>
      </w:r>
      <w:r>
        <w:rPr>
          <w:rFonts w:hAnsi="仿宋"/>
          <w:sz w:val="24"/>
        </w:rPr>
        <w:t>2）属特定分包人或者供应商的，提交证明其与该项目投标人绑定投标的附条件生效协议以及能证明其能履行该协议项下的合同义务的能力的证明文件。</w:t>
      </w:r>
      <w:r>
        <w:rPr>
          <w:rFonts w:hAnsi="仿宋"/>
          <w:sz w:val="24"/>
        </w:rPr>
        <w:tab/>
      </w:r>
    </w:p>
    <w:p>
      <w:pPr>
        <w:rPr>
          <w:rFonts w:hint="eastAsia" w:hAnsi="仿宋"/>
          <w:sz w:val="24"/>
        </w:rPr>
      </w:pPr>
      <w:r>
        <w:rPr>
          <w:rFonts w:hint="eastAsia" w:hAnsi="仿宋"/>
          <w:sz w:val="24"/>
        </w:rPr>
        <w:t>（</w:t>
      </w:r>
      <w:r>
        <w:rPr>
          <w:rFonts w:hAnsi="仿宋"/>
          <w:sz w:val="24"/>
        </w:rPr>
        <w:t>3）可证明与异议项目有利害关系的其他证明文件。</w:t>
      </w:r>
    </w:p>
    <w:p>
      <w:r>
        <w:br w:type="page"/>
      </w:r>
    </w:p>
    <w:p>
      <w:pPr>
        <w:pBdr>
          <w:top w:val="double" w:color="auto" w:sz="4" w:space="0"/>
          <w:bottom w:val="double" w:color="auto" w:sz="4" w:space="0"/>
        </w:pBdr>
        <w:spacing w:line="36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第三章</w:t>
      </w:r>
    </w:p>
    <w:p>
      <w:pPr>
        <w:spacing w:line="360" w:lineRule="auto"/>
        <w:jc w:val="left"/>
        <w:rPr>
          <w:rFonts w:ascii="仿宋_GB2312" w:eastAsia="仿宋_GB2312"/>
          <w:sz w:val="28"/>
          <w:szCs w:val="28"/>
        </w:rPr>
      </w:pPr>
    </w:p>
    <w:p>
      <w:pPr>
        <w:pStyle w:val="3"/>
        <w:rPr>
          <w:szCs w:val="40"/>
        </w:rPr>
      </w:pPr>
      <w:bookmarkStart w:id="26" w:name="_Toc7303"/>
      <w:bookmarkStart w:id="27" w:name="_Toc7040"/>
      <w:bookmarkStart w:id="28" w:name="_Toc87616371"/>
      <w:bookmarkStart w:id="29" w:name="_Toc88209934"/>
      <w:r>
        <w:rPr>
          <w:rFonts w:hint="eastAsia"/>
          <w:szCs w:val="40"/>
        </w:rPr>
        <w:t>采购方法</w:t>
      </w:r>
      <w:bookmarkEnd w:id="26"/>
      <w:bookmarkEnd w:id="27"/>
      <w:bookmarkEnd w:id="28"/>
      <w:bookmarkEnd w:id="29"/>
    </w:p>
    <w:p>
      <w:pPr>
        <w:rPr>
          <w:rFonts w:ascii="仿宋_GB2312" w:eastAsia="仿宋_GB2312"/>
          <w:sz w:val="28"/>
          <w:szCs w:val="28"/>
        </w:rPr>
      </w:pPr>
      <w:r>
        <w:rPr>
          <w:rFonts w:ascii="仿宋_GB2312" w:eastAsia="仿宋_GB2312"/>
          <w:sz w:val="28"/>
          <w:szCs w:val="28"/>
        </w:rPr>
        <w:br w:type="page"/>
      </w:r>
    </w:p>
    <w:p>
      <w:pPr>
        <w:pStyle w:val="4"/>
      </w:pPr>
      <w:bookmarkStart w:id="30" w:name="_Toc3789"/>
      <w:bookmarkStart w:id="31" w:name="_Toc24895"/>
      <w:r>
        <w:rPr>
          <w:rFonts w:hint="eastAsia"/>
        </w:rPr>
        <w:t>询比采购</w:t>
      </w:r>
      <w:bookmarkEnd w:id="30"/>
      <w:bookmarkEnd w:id="31"/>
    </w:p>
    <w:p>
      <w:pPr>
        <w:adjustRightInd w:val="0"/>
        <w:snapToGrid w:val="0"/>
        <w:spacing w:line="600" w:lineRule="exact"/>
        <w:jc w:val="left"/>
        <w:rPr>
          <w:rFonts w:hint="eastAsia" w:asciiTheme="minorEastAsia" w:hAnsiTheme="minorEastAsia"/>
          <w:b/>
          <w:sz w:val="28"/>
          <w:szCs w:val="28"/>
        </w:rPr>
      </w:pPr>
      <w:r>
        <w:rPr>
          <w:rFonts w:hint="eastAsia" w:asciiTheme="minorEastAsia" w:hAnsiTheme="minorEastAsia"/>
          <w:b/>
          <w:sz w:val="28"/>
          <w:szCs w:val="28"/>
        </w:rPr>
        <w:t>询比</w:t>
      </w:r>
    </w:p>
    <w:tbl>
      <w:tblPr>
        <w:tblStyle w:val="26"/>
        <w:tblW w:w="889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7229"/>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1668" w:type="dxa"/>
            <w:tcBorders>
              <w:top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1.采购准备</w:t>
            </w:r>
          </w:p>
        </w:tc>
        <w:tc>
          <w:tcPr>
            <w:tcW w:w="7229" w:type="dxa"/>
            <w:tcBorders>
              <w:top w:val="single" w:color="auto" w:sz="4" w:space="0"/>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1.1 在采购文件约定的时间、地点，供应商应向采购人提交响应文件；响应文件按照采购文件第二章供应商须知2.9的要求密封，按照2.10的规定提交</w:t>
            </w:r>
          </w:p>
          <w:p>
            <w:pPr>
              <w:adjustRightInd w:val="0"/>
              <w:snapToGrid w:val="0"/>
              <w:ind w:left="480" w:hanging="480" w:hangingChars="200"/>
              <w:rPr>
                <w:rFonts w:hint="eastAsia" w:ascii="仿宋_GB2312" w:eastAsia="仿宋_GB2312" w:hAnsiTheme="minorEastAsia"/>
                <w:sz w:val="24"/>
                <w:szCs w:val="24"/>
              </w:rPr>
            </w:pPr>
            <w:r>
              <w:rPr>
                <w:rFonts w:hint="eastAsia" w:ascii="仿宋_GB2312" w:eastAsia="仿宋_GB2312" w:hAnsiTheme="minorEastAsia"/>
                <w:sz w:val="24"/>
                <w:szCs w:val="24"/>
              </w:rPr>
              <w:t>1.2 资格审查执行第二章供应商须知1.对供应商的资格要求</w:t>
            </w:r>
          </w:p>
          <w:p>
            <w:pPr>
              <w:adjustRightInd w:val="0"/>
              <w:snapToGrid w:val="0"/>
              <w:ind w:left="480" w:hanging="480" w:hangingChars="200"/>
              <w:rPr>
                <w:rFonts w:ascii="仿宋_GB2312" w:eastAsia="仿宋_GB2312"/>
                <w:sz w:val="24"/>
                <w:szCs w:val="24"/>
              </w:rPr>
            </w:pPr>
            <w:r>
              <w:rPr>
                <w:rFonts w:hint="eastAsia" w:ascii="仿宋_GB2312" w:eastAsia="仿宋_GB2312" w:hAnsiTheme="minorEastAsia"/>
                <w:sz w:val="24"/>
                <w:szCs w:val="24"/>
              </w:rPr>
              <w:t>1.3 响应文件提交截止后，递交响应文件供应商不足3家的或有效响应文件供应商不足两家，应分析原因并重新发出采购公告（邀请书）或采取其他采购方式。</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1668" w:type="dxa"/>
            <w:tcBorders>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2.询比规则</w:t>
            </w:r>
          </w:p>
        </w:tc>
        <w:tc>
          <w:tcPr>
            <w:tcW w:w="7229" w:type="dxa"/>
            <w:tcBorders>
              <w:bottom w:val="single" w:color="auto" w:sz="4" w:space="0"/>
            </w:tcBorders>
            <w:vAlign w:val="center"/>
          </w:tcPr>
          <w:p>
            <w:pPr>
              <w:adjustRightInd w:val="0"/>
              <w:snapToGrid w:val="0"/>
              <w:ind w:left="458" w:hanging="458" w:hangingChars="191"/>
              <w:rPr>
                <w:rFonts w:ascii="仿宋_GB2312" w:eastAsia="仿宋_GB2312"/>
                <w:sz w:val="24"/>
                <w:szCs w:val="24"/>
              </w:rPr>
            </w:pPr>
            <w:r>
              <w:rPr>
                <w:rFonts w:hint="eastAsia" w:ascii="仿宋_GB2312" w:eastAsia="仿宋_GB2312" w:hAnsiTheme="minorEastAsia"/>
                <w:sz w:val="24"/>
                <w:szCs w:val="24"/>
              </w:rPr>
              <w:t>2.1 报价应包括国家规定的增值税税金，增值税税金按一般计税方法计算。报价范围包括</w:t>
            </w:r>
            <w:r>
              <w:rPr>
                <w:rFonts w:hint="eastAsia" w:ascii="仿宋_GB2312" w:eastAsia="仿宋_GB2312" w:hAnsiTheme="minorEastAsia"/>
                <w:sz w:val="24"/>
                <w:szCs w:val="24"/>
                <w:u w:val="single"/>
              </w:rPr>
              <w:t>本项目所有采购内容和范围。</w:t>
            </w:r>
            <w:r>
              <w:rPr>
                <w:rFonts w:hint="eastAsia" w:ascii="仿宋_GB2312" w:eastAsia="仿宋_GB2312"/>
                <w:sz w:val="24"/>
                <w:szCs w:val="24"/>
              </w:rPr>
              <w:t xml:space="preserve"> </w:t>
            </w:r>
          </w:p>
          <w:p>
            <w:pPr>
              <w:adjustRightInd w:val="0"/>
              <w:snapToGrid w:val="0"/>
              <w:ind w:left="458" w:hanging="458" w:hangingChars="191"/>
              <w:rPr>
                <w:rFonts w:ascii="仿宋_GB2312" w:eastAsia="仿宋_GB2312"/>
                <w:sz w:val="24"/>
                <w:szCs w:val="24"/>
              </w:rPr>
            </w:pPr>
            <w:r>
              <w:rPr>
                <w:rFonts w:hint="eastAsia" w:ascii="仿宋_GB2312" w:eastAsia="仿宋_GB2312"/>
                <w:sz w:val="24"/>
                <w:szCs w:val="24"/>
              </w:rPr>
              <w:t xml:space="preserve">2.2 询比地址 </w:t>
            </w:r>
          </w:p>
          <w:p>
            <w:pPr>
              <w:adjustRightInd w:val="0"/>
              <w:snapToGrid w:val="0"/>
              <w:ind w:left="479" w:leftChars="228" w:firstLine="0" w:firstLineChars="0"/>
              <w:rPr>
                <w:rFonts w:hint="eastAsia" w:ascii="仿宋_GB2312" w:eastAsia="仿宋_GB2312"/>
                <w:sz w:val="24"/>
                <w:szCs w:val="24"/>
                <w:u w:val="single"/>
              </w:rPr>
            </w:pPr>
            <w:r>
              <w:rPr>
                <w:rFonts w:hint="eastAsia" w:ascii="仿宋_GB2312" w:eastAsia="仿宋_GB2312"/>
                <w:sz w:val="24"/>
                <w:szCs w:val="24"/>
                <w:u w:val="single"/>
              </w:rPr>
              <w:t>广州市</w:t>
            </w:r>
            <w:r>
              <w:rPr>
                <w:rFonts w:hint="eastAsia" w:ascii="仿宋_GB2312" w:eastAsia="仿宋_GB2312"/>
                <w:sz w:val="24"/>
                <w:szCs w:val="24"/>
                <w:u w:val="single"/>
                <w:lang w:val="en-US" w:eastAsia="zh-CN"/>
              </w:rPr>
              <w:t>白云区京溪街道犀牛二马路1号广州市净水有限公司京溪分公司</w:t>
            </w:r>
          </w:p>
          <w:p>
            <w:pPr>
              <w:adjustRightInd w:val="0"/>
              <w:snapToGrid w:val="0"/>
              <w:rPr>
                <w:rFonts w:hint="eastAsia" w:ascii="仿宋_GB2312" w:eastAsia="仿宋_GB2312" w:hAnsiTheme="minorEastAsia"/>
                <w:sz w:val="24"/>
                <w:szCs w:val="24"/>
                <w:u w:val="single"/>
              </w:rPr>
            </w:pPr>
            <w:r>
              <w:rPr>
                <w:rFonts w:hint="eastAsia" w:ascii="仿宋_GB2312" w:eastAsia="仿宋_GB2312" w:hAnsiTheme="minorEastAsia"/>
                <w:sz w:val="24"/>
                <w:szCs w:val="24"/>
              </w:rPr>
              <w:t>2.3 询比开始时间（同响应文件截止时间）</w:t>
            </w:r>
          </w:p>
          <w:p>
            <w:pPr>
              <w:adjustRightInd w:val="0"/>
              <w:snapToGrid w:val="0"/>
              <w:ind w:left="480" w:hanging="480" w:hangingChars="200"/>
              <w:rPr>
                <w:rFonts w:ascii="仿宋_GB2312" w:eastAsia="仿宋_GB2312"/>
                <w:sz w:val="24"/>
                <w:szCs w:val="24"/>
              </w:rPr>
            </w:pPr>
            <w:r>
              <w:rPr>
                <w:rFonts w:hint="eastAsia" w:ascii="仿宋_GB2312" w:eastAsia="仿宋_GB2312"/>
                <w:sz w:val="24"/>
                <w:szCs w:val="24"/>
              </w:rPr>
              <w:t>2.4 供应商依据采购文件规定的时间和地点递交响应文件，供应商应一次报出不可更改的价格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668" w:type="dxa"/>
            <w:tcBorders>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3.成交规则</w:t>
            </w:r>
          </w:p>
        </w:tc>
        <w:tc>
          <w:tcPr>
            <w:tcW w:w="7229" w:type="dxa"/>
            <w:tcBorders>
              <w:bottom w:val="single" w:color="auto" w:sz="4" w:space="0"/>
            </w:tcBorders>
            <w:vAlign w:val="center"/>
          </w:tcPr>
          <w:p>
            <w:pPr>
              <w:adjustRightInd w:val="0"/>
              <w:snapToGrid w:val="0"/>
              <w:ind w:left="360" w:hanging="360" w:hangingChars="150"/>
              <w:rPr>
                <w:rFonts w:hint="eastAsia" w:ascii="仿宋_GB2312" w:eastAsia="仿宋_GB2312" w:hAnsiTheme="minorEastAsia"/>
                <w:sz w:val="24"/>
                <w:szCs w:val="24"/>
              </w:rPr>
            </w:pPr>
            <w:r>
              <w:rPr>
                <w:rFonts w:hint="eastAsia" w:ascii="仿宋_GB2312" w:eastAsia="仿宋_GB2312" w:hAnsiTheme="minorEastAsia"/>
                <w:sz w:val="24"/>
                <w:szCs w:val="24"/>
              </w:rPr>
              <w:sym w:font="Wingdings 2" w:char="0052"/>
            </w:r>
            <w:r>
              <w:rPr>
                <w:rFonts w:hint="eastAsia" w:ascii="仿宋_GB2312" w:eastAsia="仿宋_GB2312" w:hAnsiTheme="minorEastAsia"/>
                <w:sz w:val="24"/>
                <w:szCs w:val="24"/>
              </w:rPr>
              <w:t>采购人确定满足采购文件资格性、响应性要求，并且经评审的报价最低的为成交供应商</w:t>
            </w:r>
          </w:p>
          <w:p>
            <w:pPr>
              <w:adjustRightInd w:val="0"/>
              <w:snapToGrid w:val="0"/>
              <w:ind w:left="360" w:hanging="360" w:hangingChars="150"/>
              <w:rPr>
                <w:rFonts w:hint="eastAsia" w:ascii="仿宋_GB2312" w:eastAsia="仿宋_GB2312" w:hAnsiTheme="minorEastAsia"/>
                <w:sz w:val="24"/>
                <w:szCs w:val="24"/>
              </w:rPr>
            </w:pPr>
            <w:r>
              <w:rPr>
                <w:rFonts w:hint="eastAsia" w:ascii="仿宋_GB2312" w:eastAsia="仿宋_GB2312" w:hAnsiTheme="minorEastAsia"/>
                <w:sz w:val="24"/>
                <w:szCs w:val="24"/>
              </w:rPr>
              <w:sym w:font="Wingdings 2" w:char="00A3"/>
            </w:r>
            <w:r>
              <w:rPr>
                <w:rFonts w:hint="eastAsia" w:ascii="仿宋_GB2312" w:eastAsia="仿宋_GB2312" w:hAnsiTheme="minorEastAsia"/>
                <w:sz w:val="24"/>
                <w:szCs w:val="24"/>
              </w:rPr>
              <w:t>评审小组按照采购文件确定的标准排序，采购人确定排名第一的供应商为成交供应商。</w:t>
            </w:r>
          </w:p>
          <w:p>
            <w:pPr>
              <w:adjustRightInd w:val="0"/>
              <w:snapToGrid w:val="0"/>
              <w:ind w:firstLine="480" w:firstLineChars="200"/>
              <w:rPr>
                <w:rFonts w:hint="eastAsia" w:ascii="仿宋_GB2312" w:eastAsia="仿宋_GB2312" w:hAnsiTheme="minorEastAsia"/>
                <w:sz w:val="24"/>
                <w:szCs w:val="24"/>
              </w:rPr>
            </w:pPr>
            <w:r>
              <w:rPr>
                <w:rFonts w:ascii="仿宋_GB2312" w:eastAsia="仿宋_GB2312" w:hAnsiTheme="minorEastAsia"/>
                <w:sz w:val="24"/>
                <w:szCs w:val="24"/>
              </w:rPr>
              <w:t>如第一中选候选人被取消中选候选人资格，采购人有权按中选候选人的顺序依次确定其他中选候选人为中选人，或重新采购。</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1668" w:type="dxa"/>
            <w:tcBorders>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4.成交候选人公示</w:t>
            </w:r>
          </w:p>
        </w:tc>
        <w:tc>
          <w:tcPr>
            <w:tcW w:w="7229" w:type="dxa"/>
            <w:tcBorders>
              <w:bottom w:val="single" w:color="auto" w:sz="4" w:space="0"/>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hAnsiTheme="minorEastAsia"/>
                <w:sz w:val="24"/>
                <w:szCs w:val="24"/>
              </w:rPr>
              <w:t>在评审小组提交评审报告3日内，在</w:t>
            </w:r>
            <w:r>
              <w:rPr>
                <w:rFonts w:hint="eastAsia" w:ascii="仿宋_GB2312" w:eastAsia="仿宋_GB2312" w:hAnsiTheme="minorEastAsia"/>
                <w:sz w:val="24"/>
                <w:szCs w:val="24"/>
                <w:u w:val="single"/>
              </w:rPr>
              <w:t>广州市净水有限公司门户网站</w:t>
            </w:r>
            <w:r>
              <w:rPr>
                <w:rFonts w:hint="eastAsia" w:ascii="仿宋_GB2312" w:eastAsia="仿宋_GB2312" w:hAnsiTheme="minorEastAsia"/>
                <w:sz w:val="24"/>
                <w:szCs w:val="24"/>
              </w:rPr>
              <w:t>公示成交候选人。</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1668"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5.成交结果公告</w:t>
            </w:r>
          </w:p>
        </w:tc>
        <w:tc>
          <w:tcPr>
            <w:tcW w:w="7229" w:type="dxa"/>
            <w:tcBorders>
              <w:top w:val="single" w:color="auto" w:sz="4" w:space="0"/>
              <w:bottom w:val="single" w:color="auto" w:sz="4" w:space="0"/>
            </w:tcBorders>
            <w:vAlign w:val="center"/>
          </w:tcPr>
          <w:p>
            <w:pPr>
              <w:adjustRightInd w:val="0"/>
              <w:snapToGrid w:val="0"/>
              <w:rPr>
                <w:rFonts w:hint="eastAsia" w:ascii="仿宋_GB2312" w:eastAsia="仿宋_GB2312" w:hAnsiTheme="minorEastAsia"/>
                <w:sz w:val="24"/>
                <w:szCs w:val="24"/>
              </w:rPr>
            </w:pPr>
            <w:r>
              <w:rPr>
                <w:rFonts w:hint="eastAsia" w:ascii="仿宋_GB2312" w:eastAsia="仿宋_GB2312"/>
                <w:sz w:val="24"/>
                <w:szCs w:val="24"/>
              </w:rPr>
              <w:t>成交候选人公示</w:t>
            </w:r>
            <w:r>
              <w:rPr>
                <w:rFonts w:hint="eastAsia" w:ascii="仿宋_GB2312" w:eastAsia="仿宋_GB2312" w:hAnsiTheme="minorEastAsia"/>
                <w:sz w:val="24"/>
                <w:szCs w:val="24"/>
              </w:rPr>
              <w:t>结束后。</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rPr>
          <w:trHeight w:val="653" w:hRule="atLeast"/>
        </w:trPr>
        <w:tc>
          <w:tcPr>
            <w:tcW w:w="1668"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6.成交通知书</w:t>
            </w:r>
          </w:p>
        </w:tc>
        <w:tc>
          <w:tcPr>
            <w:tcW w:w="7229" w:type="dxa"/>
            <w:tcBorders>
              <w:top w:val="single" w:color="auto" w:sz="4" w:space="0"/>
              <w:bottom w:val="single" w:color="auto" w:sz="4" w:space="0"/>
            </w:tcBorders>
            <w:vAlign w:val="center"/>
          </w:tcPr>
          <w:p>
            <w:pPr>
              <w:adjustRightInd w:val="0"/>
              <w:snapToGrid w:val="0"/>
              <w:ind w:left="1" w:firstLine="2"/>
              <w:jc w:val="left"/>
              <w:rPr>
                <w:rFonts w:hint="eastAsia" w:ascii="仿宋_GB2312" w:eastAsia="仿宋_GB2312" w:hAnsiTheme="minorEastAsia"/>
                <w:sz w:val="24"/>
                <w:szCs w:val="24"/>
              </w:rPr>
            </w:pPr>
            <w:r>
              <w:rPr>
                <w:rFonts w:hint="eastAsia" w:ascii="仿宋_GB2312" w:eastAsia="仿宋_GB2312" w:hAnsiTheme="minorEastAsia"/>
                <w:sz w:val="24"/>
                <w:szCs w:val="24"/>
              </w:rPr>
              <w:t>采购人应在确定成交供应商后及时向其发出成交通知书。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1668"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7.签订采购合同</w:t>
            </w:r>
          </w:p>
        </w:tc>
        <w:tc>
          <w:tcPr>
            <w:tcW w:w="7229" w:type="dxa"/>
            <w:tcBorders>
              <w:top w:val="single" w:color="auto" w:sz="4" w:space="0"/>
              <w:bottom w:val="single" w:color="auto" w:sz="4" w:space="0"/>
            </w:tcBorders>
            <w:vAlign w:val="center"/>
          </w:tcPr>
          <w:p>
            <w:pPr>
              <w:adjustRightInd w:val="0"/>
              <w:snapToGrid w:val="0"/>
              <w:ind w:left="1" w:firstLine="2"/>
              <w:jc w:val="left"/>
              <w:rPr>
                <w:rFonts w:hint="eastAsia" w:ascii="仿宋_GB2312" w:eastAsia="仿宋_GB2312" w:hAnsiTheme="minorEastAsia"/>
                <w:sz w:val="24"/>
                <w:szCs w:val="24"/>
              </w:rPr>
            </w:pPr>
            <w:r>
              <w:rPr>
                <w:rFonts w:hint="eastAsia" w:ascii="仿宋_GB2312" w:eastAsia="仿宋_GB2312" w:hAnsiTheme="minorEastAsia"/>
                <w:sz w:val="24"/>
                <w:szCs w:val="24"/>
              </w:rPr>
              <w:t>采购人在发出成交通知书后30日内同成交供应商签订书面采购合同.</w:t>
            </w:r>
          </w:p>
        </w:tc>
      </w:tr>
    </w:tbl>
    <w:p>
      <w:pPr>
        <w:pBdr>
          <w:top w:val="double" w:color="auto" w:sz="4" w:space="0"/>
          <w:bottom w:val="double" w:color="auto" w:sz="4" w:space="0"/>
        </w:pBdr>
        <w:spacing w:line="36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第四章</w:t>
      </w:r>
    </w:p>
    <w:p>
      <w:pPr>
        <w:spacing w:line="360" w:lineRule="auto"/>
        <w:ind w:firstLine="560" w:firstLineChars="200"/>
        <w:jc w:val="left"/>
        <w:rPr>
          <w:rFonts w:ascii="仿宋_GB2312" w:eastAsia="仿宋_GB2312"/>
          <w:sz w:val="28"/>
          <w:szCs w:val="28"/>
        </w:rPr>
      </w:pPr>
    </w:p>
    <w:p>
      <w:pPr>
        <w:pStyle w:val="3"/>
        <w:rPr>
          <w:szCs w:val="40"/>
        </w:rPr>
      </w:pPr>
      <w:bookmarkStart w:id="32" w:name="_Toc29484"/>
      <w:bookmarkStart w:id="33" w:name="_Toc12177"/>
      <w:bookmarkStart w:id="34" w:name="_Toc22212"/>
      <w:bookmarkStart w:id="35" w:name="_Toc32607"/>
      <w:bookmarkStart w:id="36" w:name="_Toc6308"/>
      <w:bookmarkStart w:id="37" w:name="_Toc30530"/>
      <w:bookmarkStart w:id="38" w:name="_Toc13898"/>
      <w:bookmarkStart w:id="39" w:name="_Toc87616378"/>
      <w:bookmarkStart w:id="40" w:name="_Toc21840"/>
      <w:bookmarkStart w:id="41" w:name="_Toc7831"/>
      <w:bookmarkStart w:id="42" w:name="_Toc21079"/>
      <w:bookmarkStart w:id="43" w:name="_Toc29345"/>
      <w:bookmarkStart w:id="44" w:name="_Toc88209941"/>
      <w:r>
        <w:rPr>
          <w:rFonts w:hint="eastAsia"/>
          <w:szCs w:val="40"/>
        </w:rPr>
        <w:t>评审办法</w:t>
      </w:r>
      <w:bookmarkEnd w:id="32"/>
      <w:bookmarkEnd w:id="33"/>
      <w:bookmarkEnd w:id="34"/>
      <w:bookmarkEnd w:id="35"/>
      <w:bookmarkEnd w:id="36"/>
      <w:bookmarkEnd w:id="37"/>
      <w:bookmarkEnd w:id="38"/>
      <w:bookmarkEnd w:id="39"/>
      <w:bookmarkEnd w:id="40"/>
      <w:bookmarkEnd w:id="41"/>
      <w:bookmarkEnd w:id="42"/>
      <w:bookmarkEnd w:id="43"/>
      <w:bookmarkEnd w:id="44"/>
    </w:p>
    <w:p>
      <w:pPr>
        <w:rPr>
          <w:rFonts w:ascii="仿宋_GB2312" w:eastAsia="仿宋_GB2312"/>
          <w:sz w:val="28"/>
          <w:szCs w:val="28"/>
        </w:rPr>
      </w:pPr>
      <w:r>
        <w:rPr>
          <w:rFonts w:ascii="仿宋_GB2312" w:eastAsia="仿宋_GB2312"/>
          <w:sz w:val="28"/>
          <w:szCs w:val="28"/>
        </w:rPr>
        <w:br w:type="page"/>
      </w:r>
    </w:p>
    <w:p>
      <w:pPr>
        <w:pStyle w:val="4"/>
      </w:pPr>
      <w:bookmarkStart w:id="45" w:name="_Toc26826"/>
      <w:bookmarkStart w:id="46" w:name="_Toc23033"/>
      <w:r>
        <w:rPr>
          <w:rFonts w:hint="eastAsia"/>
        </w:rPr>
        <w:sym w:font="Wingdings" w:char="00FE"/>
      </w:r>
      <w:r>
        <w:rPr>
          <w:rFonts w:hint="eastAsia"/>
        </w:rPr>
        <w:t>经评审的最低价法</w:t>
      </w:r>
      <w:bookmarkEnd w:id="45"/>
      <w:bookmarkEnd w:id="46"/>
    </w:p>
    <w:p>
      <w:pPr>
        <w:adjustRightInd w:val="0"/>
        <w:snapToGrid w:val="0"/>
        <w:spacing w:line="600" w:lineRule="exact"/>
        <w:jc w:val="left"/>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1.评审方法</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供应商的报价应当符合采购文件规定的技术要求和标准，但评审小组无须对响应文件的技术部分进行价格评审。</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除报价外，评审还应考虑的商务因素一般有以下几种：</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（1）运输费用及保险费（如有）。</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（2）工期、交货期或服务期限。</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（3）支付条件。</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（4）备品备件以及售后服务（如有）。</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（5）价格调整因素。</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经澄清确认后修正的最终报价应当认为是供应商的真实要约，可以作为合同签约价。</w:t>
      </w:r>
    </w:p>
    <w:p>
      <w:pPr>
        <w:adjustRightInd w:val="0"/>
        <w:snapToGrid w:val="0"/>
        <w:spacing w:line="600" w:lineRule="exact"/>
        <w:jc w:val="left"/>
        <w:rPr>
          <w:rFonts w:hint="eastAsia" w:asciiTheme="minorEastAsia" w:hAnsiTheme="minorEastAsia"/>
          <w:b/>
          <w:sz w:val="28"/>
          <w:szCs w:val="28"/>
        </w:rPr>
      </w:pPr>
      <w:r>
        <w:rPr>
          <w:rFonts w:hint="eastAsia" w:asciiTheme="minorEastAsia" w:hAnsiTheme="minorEastAsia"/>
          <w:b/>
          <w:sz w:val="28"/>
          <w:szCs w:val="28"/>
        </w:rPr>
        <w:t>2.评审程序</w:t>
      </w:r>
    </w:p>
    <w:p>
      <w:pPr>
        <w:adjustRightInd w:val="0"/>
        <w:snapToGrid w:val="0"/>
        <w:spacing w:line="600" w:lineRule="exact"/>
        <w:ind w:firstLine="555"/>
        <w:jc w:val="left"/>
        <w:rPr>
          <w:rFonts w:hint="eastAsia" w:ascii="仿宋_GB2312" w:eastAsia="仿宋_GB2312" w:hAnsiTheme="minorEastAsia"/>
          <w:sz w:val="28"/>
          <w:szCs w:val="28"/>
        </w:rPr>
      </w:pPr>
      <w:r>
        <w:rPr>
          <w:rFonts w:hint="eastAsia" w:ascii="仿宋_GB2312" w:eastAsia="仿宋_GB2312" w:hAnsiTheme="minorEastAsia"/>
          <w:sz w:val="28"/>
          <w:szCs w:val="28"/>
        </w:rPr>
        <w:t>2.1 初步评审</w:t>
      </w:r>
    </w:p>
    <w:p>
      <w:pPr>
        <w:adjustRightInd w:val="0"/>
        <w:snapToGrid w:val="0"/>
        <w:spacing w:line="600" w:lineRule="exact"/>
        <w:jc w:val="center"/>
        <w:rPr>
          <w:rFonts w:hint="eastAsia" w:ascii="仿宋_GB2312" w:eastAsia="仿宋_GB2312" w:hAnsiTheme="minorEastAsia"/>
          <w:sz w:val="28"/>
          <w:szCs w:val="28"/>
        </w:rPr>
      </w:pPr>
      <w:r>
        <w:rPr>
          <w:rFonts w:ascii="仿宋_GB2312" w:eastAsia="仿宋_GB2312"/>
          <w:sz w:val="28"/>
          <w:szCs w:val="28"/>
        </w:rPr>
        <w:t>表</w:t>
      </w:r>
      <w:r>
        <w:rPr>
          <w:rFonts w:hint="eastAsia" w:ascii="仿宋_GB2312" w:eastAsia="仿宋_GB2312"/>
          <w:sz w:val="28"/>
          <w:szCs w:val="28"/>
        </w:rPr>
        <w:t>4-1 初步评审标准</w:t>
      </w:r>
    </w:p>
    <w:tbl>
      <w:tblPr>
        <w:tblStyle w:val="26"/>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1"/>
        <w:gridCol w:w="2061"/>
        <w:gridCol w:w="533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评审环节</w:t>
            </w: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评审</w:t>
            </w:r>
            <w:r>
              <w:rPr>
                <w:rFonts w:ascii="仿宋_GB2312" w:eastAsia="仿宋_GB2312"/>
                <w:sz w:val="28"/>
                <w:szCs w:val="28"/>
              </w:rPr>
              <w:t>因素</w:t>
            </w:r>
          </w:p>
        </w:tc>
        <w:tc>
          <w:tcPr>
            <w:tcW w:w="5528"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评审</w:t>
            </w:r>
            <w:r>
              <w:rPr>
                <w:rFonts w:ascii="仿宋_GB2312" w:eastAsia="仿宋_GB2312"/>
                <w:sz w:val="28"/>
                <w:szCs w:val="28"/>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356" w:type="dxa"/>
            <w:vMerge w:val="restart"/>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形式评审</w:t>
            </w:r>
          </w:p>
        </w:tc>
        <w:tc>
          <w:tcPr>
            <w:tcW w:w="2127" w:type="dxa"/>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响应函签字盖章</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rPr>
            </w:pPr>
            <w:r>
              <w:rPr>
                <w:rFonts w:hint="eastAsia" w:ascii="仿宋_GB2312" w:eastAsia="仿宋_GB2312"/>
                <w:sz w:val="24"/>
                <w:szCs w:val="24"/>
              </w:rPr>
              <w:t>有响应函，有法定代表人（单位负责人）或其委托代理人签字（或签章 ）并加盖单位公章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356" w:type="dxa"/>
            <w:vMerge w:val="continue"/>
            <w:vAlign w:val="center"/>
          </w:tcPr>
          <w:p>
            <w:pPr>
              <w:adjustRightInd w:val="0"/>
              <w:snapToGrid w:val="0"/>
              <w:jc w:val="center"/>
              <w:rPr>
                <w:rFonts w:ascii="仿宋_GB2312" w:eastAsia="仿宋_GB2312"/>
                <w:sz w:val="24"/>
                <w:szCs w:val="24"/>
              </w:rPr>
            </w:pP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rPr>
            </w:pPr>
            <w:r>
              <w:rPr>
                <w:rFonts w:ascii="仿宋_GB2312" w:eastAsia="仿宋_GB2312"/>
                <w:sz w:val="24"/>
                <w:szCs w:val="24"/>
              </w:rPr>
              <w:t>响应文件格式</w:t>
            </w:r>
          </w:p>
        </w:tc>
        <w:tc>
          <w:tcPr>
            <w:tcW w:w="5528" w:type="dxa"/>
            <w:tcBorders>
              <w:top w:val="single" w:color="auto" w:sz="4" w:space="0"/>
              <w:bottom w:val="single" w:color="auto" w:sz="4" w:space="0"/>
            </w:tcBorders>
            <w:vAlign w:val="center"/>
          </w:tcPr>
          <w:p>
            <w:pPr>
              <w:adjustRightInd w:val="0"/>
              <w:snapToGrid w:val="0"/>
              <w:spacing w:line="600" w:lineRule="exact"/>
              <w:rPr>
                <w:rFonts w:ascii="仿宋_GB2312" w:eastAsia="仿宋_GB2312"/>
                <w:sz w:val="24"/>
                <w:szCs w:val="24"/>
              </w:rPr>
            </w:pPr>
            <w:r>
              <w:rPr>
                <w:rFonts w:ascii="仿宋_GB2312" w:eastAsia="仿宋_GB2312"/>
                <w:sz w:val="24"/>
                <w:szCs w:val="24"/>
              </w:rPr>
              <w:t>符合采购文件</w:t>
            </w:r>
            <w:r>
              <w:rPr>
                <w:rFonts w:hint="eastAsia" w:ascii="仿宋_GB2312" w:eastAsia="仿宋_GB2312"/>
                <w:sz w:val="24"/>
                <w:szCs w:val="24"/>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356" w:type="dxa"/>
            <w:vMerge w:val="continue"/>
            <w:vAlign w:val="center"/>
          </w:tcPr>
          <w:p>
            <w:pPr>
              <w:adjustRightInd w:val="0"/>
              <w:snapToGrid w:val="0"/>
              <w:jc w:val="center"/>
              <w:rPr>
                <w:rFonts w:ascii="仿宋_GB2312" w:eastAsia="仿宋_GB2312"/>
                <w:sz w:val="24"/>
                <w:szCs w:val="24"/>
              </w:rPr>
            </w:pPr>
          </w:p>
        </w:tc>
        <w:tc>
          <w:tcPr>
            <w:tcW w:w="2127" w:type="dxa"/>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报价唯一</w:t>
            </w:r>
          </w:p>
        </w:tc>
        <w:tc>
          <w:tcPr>
            <w:tcW w:w="5528" w:type="dxa"/>
            <w:tcBorders>
              <w:top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只能有一个有效报价</w:t>
            </w:r>
            <w:r>
              <w:rPr>
                <w:rFonts w:hint="eastAsia" w:ascii="仿宋_GB2312" w:eastAsia="仿宋_GB2312"/>
                <w:sz w:val="24"/>
                <w:szCs w:val="24"/>
              </w:rPr>
              <w:t>，</w:t>
            </w:r>
            <w:r>
              <w:rPr>
                <w:rFonts w:ascii="仿宋_GB2312" w:eastAsia="仿宋_GB2312"/>
                <w:sz w:val="24"/>
                <w:szCs w:val="24"/>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vAlign w:val="center"/>
          </w:tcPr>
          <w:p>
            <w:pPr>
              <w:adjustRightInd w:val="0"/>
              <w:snapToGrid w:val="0"/>
              <w:jc w:val="center"/>
              <w:rPr>
                <w:rFonts w:ascii="仿宋_GB2312" w:eastAsia="仿宋_GB2312"/>
                <w:sz w:val="24"/>
                <w:szCs w:val="24"/>
              </w:rPr>
            </w:pPr>
            <w:r>
              <w:rPr>
                <w:rFonts w:ascii="仿宋_GB2312" w:eastAsia="仿宋_GB2312"/>
                <w:sz w:val="24"/>
                <w:szCs w:val="24"/>
              </w:rPr>
              <w:t>资格评审</w:t>
            </w:r>
          </w:p>
        </w:tc>
        <w:tc>
          <w:tcPr>
            <w:tcW w:w="2127" w:type="dxa"/>
            <w:vAlign w:val="center"/>
          </w:tcPr>
          <w:p>
            <w:pPr>
              <w:adjustRightInd w:val="0"/>
              <w:snapToGrid w:val="0"/>
              <w:jc w:val="center"/>
              <w:rPr>
                <w:rFonts w:ascii="仿宋_GB2312" w:eastAsia="仿宋_GB2312"/>
                <w:sz w:val="24"/>
                <w:szCs w:val="24"/>
              </w:rPr>
            </w:pPr>
            <w:r>
              <w:rPr>
                <w:rFonts w:ascii="仿宋_GB2312" w:eastAsia="仿宋_GB2312"/>
                <w:sz w:val="24"/>
                <w:szCs w:val="24"/>
              </w:rPr>
              <w:t>营业执照</w:t>
            </w:r>
          </w:p>
        </w:tc>
        <w:tc>
          <w:tcPr>
            <w:tcW w:w="5528" w:type="dxa"/>
            <w:vAlign w:val="center"/>
          </w:tcPr>
          <w:p>
            <w:pPr>
              <w:adjustRightInd w:val="0"/>
              <w:snapToGrid w:val="0"/>
              <w:rPr>
                <w:rFonts w:ascii="仿宋_GB2312" w:eastAsia="仿宋_GB2312"/>
                <w:sz w:val="24"/>
                <w:szCs w:val="24"/>
              </w:rPr>
            </w:pPr>
            <w:r>
              <w:rPr>
                <w:rFonts w:hint="eastAsia" w:ascii="仿宋_GB2312" w:eastAsia="仿宋_GB2312"/>
                <w:sz w:val="24"/>
                <w:szCs w:val="24"/>
              </w:rPr>
              <w:t>报价单位须是在中华人民共和国境内注册的法人或其他组织，具有独立法人资格，持有事业单位登记管理部门核发的事业单位法人证书或工商行政管理部门核发的企业法人营业执照，且在有效期内。</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356" w:type="dxa"/>
            <w:vMerge w:val="continue"/>
            <w:vAlign w:val="center"/>
          </w:tcPr>
          <w:p>
            <w:pPr>
              <w:adjustRightInd w:val="0"/>
              <w:snapToGrid w:val="0"/>
              <w:jc w:val="center"/>
              <w:rPr>
                <w:rFonts w:ascii="仿宋_GB2312" w:eastAsia="仿宋_GB2312"/>
                <w:sz w:val="24"/>
                <w:szCs w:val="24"/>
              </w:rPr>
            </w:pPr>
          </w:p>
        </w:tc>
        <w:tc>
          <w:tcPr>
            <w:tcW w:w="2127" w:type="dxa"/>
            <w:vAlign w:val="center"/>
          </w:tcPr>
          <w:p>
            <w:pPr>
              <w:adjustRightInd w:val="0"/>
              <w:snapToGrid w:val="0"/>
              <w:jc w:val="center"/>
              <w:rPr>
                <w:rFonts w:ascii="仿宋_GB2312" w:eastAsia="仿宋_GB2312"/>
                <w:sz w:val="24"/>
                <w:szCs w:val="24"/>
              </w:rPr>
            </w:pPr>
            <w:r>
              <w:rPr>
                <w:rFonts w:ascii="仿宋_GB2312" w:eastAsia="仿宋_GB2312"/>
                <w:sz w:val="24"/>
                <w:szCs w:val="24"/>
              </w:rPr>
              <w:t>供应商资格</w:t>
            </w:r>
          </w:p>
        </w:tc>
        <w:tc>
          <w:tcPr>
            <w:tcW w:w="5528" w:type="dxa"/>
            <w:tcBorders>
              <w:bottom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满足法律法规及采购文件</w:t>
            </w:r>
            <w:r>
              <w:rPr>
                <w:rFonts w:hint="eastAsia" w:ascii="仿宋_GB2312" w:eastAsia="仿宋_GB2312"/>
                <w:sz w:val="24"/>
                <w:szCs w:val="24"/>
              </w:rPr>
              <w:t>供应商资格要求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响应性评审</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报价</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没有超过最高限价</w:t>
            </w:r>
            <w:r>
              <w:rPr>
                <w:rFonts w:hint="eastAsia" w:ascii="仿宋_GB2312" w:eastAsia="仿宋_GB2312"/>
                <w:sz w:val="24"/>
                <w:szCs w:val="24"/>
              </w:rPr>
              <w:t>；若报价低于本项目最高限价的60%，必须说明报价理由。</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其他</w:t>
            </w:r>
          </w:p>
        </w:tc>
        <w:tc>
          <w:tcPr>
            <w:tcW w:w="5528" w:type="dxa"/>
            <w:tcBorders>
              <w:top w:val="single" w:color="auto" w:sz="4" w:space="0"/>
            </w:tcBorders>
            <w:vAlign w:val="center"/>
          </w:tcPr>
          <w:p>
            <w:pPr>
              <w:adjustRightInd w:val="0"/>
              <w:snapToGrid w:val="0"/>
              <w:rPr>
                <w:rFonts w:ascii="仿宋_GB2312" w:eastAsia="仿宋_GB2312"/>
                <w:sz w:val="24"/>
                <w:szCs w:val="24"/>
              </w:rPr>
            </w:pPr>
            <w:r>
              <w:rPr>
                <w:rFonts w:hint="eastAsia" w:ascii="仿宋_GB2312" w:eastAsia="仿宋_GB2312"/>
                <w:sz w:val="24"/>
                <w:szCs w:val="24"/>
              </w:rPr>
              <w:t>采购文件要求必须提供的其他资料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其他无效响应</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无法律法规及采购文件规定的其他无效响应内容</w:t>
            </w:r>
          </w:p>
        </w:tc>
      </w:tr>
    </w:tbl>
    <w:p>
      <w:pPr>
        <w:spacing w:line="400" w:lineRule="exact"/>
        <w:ind w:firstLine="420" w:firstLineChars="200"/>
        <w:jc w:val="left"/>
      </w:pPr>
      <w:r>
        <w:rPr>
          <w:rFonts w:hint="eastAsia" w:ascii="仿宋_GB2312" w:eastAsia="仿宋_GB2312" w:hAnsiTheme="minorEastAsia"/>
          <w:szCs w:val="21"/>
        </w:rPr>
        <w:t>说明：初步评审活动依照形式评审、资格评审、响应性评审顺序进行，前一个环节不符合采购文件要求的不得进入下一个环节。</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2.2澄清补正</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2.2.1响应报价有算术错误的，评审小组按以下原则对响应报价进行修正，修正的价格经供应商书面确认后具有约束力。供应商不接受修正价格的，评审小组应当否决其响应。</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（1）响应文件中的大写金额与小写金额不一致的，以大写金额为准。</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（2）总价金额与依据单价计算出的结果不一致的，以单价金额为准修正总价，但单价金额小数点有明显错误的除外。</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（3）采购文件中有规定固定费率标准或固定金额的，或者有固定费率标准或固定金额的计算公式的，应按规定填报，否则由评审小组按照采购文件规定的费率、金额或者其计算公式进行修正或否决其响应。</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或否决其响应。</w:t>
      </w:r>
    </w:p>
    <w:p>
      <w:pPr>
        <w:adjustRightInd w:val="0"/>
        <w:snapToGrid w:val="0"/>
        <w:spacing w:line="600" w:lineRule="exact"/>
        <w:ind w:firstLine="560" w:firstLineChars="200"/>
        <w:jc w:val="left"/>
        <w:rPr>
          <w:rFonts w:hint="eastAsia" w:ascii="仿宋_GB2312" w:eastAsia="仿宋_GB2312" w:hAnsiTheme="minorEastAsia"/>
          <w:sz w:val="28"/>
          <w:szCs w:val="28"/>
        </w:rPr>
      </w:pPr>
      <w:r>
        <w:rPr>
          <w:rFonts w:hint="eastAsia" w:ascii="仿宋_GB2312" w:eastAsia="仿宋_GB2312" w:hAnsiTheme="minorEastAsia"/>
          <w:sz w:val="28"/>
          <w:szCs w:val="28"/>
        </w:rPr>
        <w:t>2.3评审结果评审后，评审价格最低的供应商为成交供应商。如评审价格相同，可由评审小组根据评审情况以记名投票方式确定供应商排名，并将推荐理由写入评审报告。</w:t>
      </w:r>
    </w:p>
    <w:p>
      <w:pPr>
        <w:rPr>
          <w:rFonts w:hint="eastAsia" w:ascii="仿宋_GB2312" w:eastAsia="仿宋_GB2312" w:hAnsiTheme="minorEastAsia"/>
          <w:szCs w:val="21"/>
        </w:rPr>
      </w:pPr>
      <w:r>
        <w:rPr>
          <w:rFonts w:ascii="仿宋_GB2312" w:eastAsia="仿宋_GB2312" w:hAnsiTheme="minorEastAsia"/>
          <w:szCs w:val="21"/>
        </w:rPr>
        <w:br w:type="page"/>
      </w:r>
    </w:p>
    <w:p>
      <w:pPr>
        <w:pBdr>
          <w:top w:val="double" w:color="auto" w:sz="4" w:space="0"/>
          <w:bottom w:val="double" w:color="auto" w:sz="4" w:space="0"/>
        </w:pBdr>
        <w:spacing w:line="36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第五章</w:t>
      </w:r>
    </w:p>
    <w:p>
      <w:pPr>
        <w:spacing w:line="360" w:lineRule="auto"/>
        <w:jc w:val="left"/>
        <w:rPr>
          <w:rFonts w:hint="eastAsia" w:ascii="仿宋_GB2312" w:eastAsia="仿宋_GB2312" w:hAnsiTheme="minorEastAsia"/>
          <w:sz w:val="28"/>
          <w:szCs w:val="28"/>
        </w:rPr>
      </w:pPr>
    </w:p>
    <w:p>
      <w:pPr>
        <w:pStyle w:val="3"/>
      </w:pPr>
      <w:r>
        <w:rPr>
          <w:rFonts w:hint="eastAsia"/>
        </w:rPr>
        <w:t>采购需求</w:t>
      </w:r>
      <w:bookmarkStart w:id="47" w:name="_Toc88209947"/>
    </w:p>
    <w:p>
      <w:pPr>
        <w:pStyle w:val="15"/>
        <w:ind w:left="0" w:leftChars="0"/>
        <w:jc w:val="both"/>
        <w:rPr>
          <w:rFonts w:eastAsia="方正小标宋简体"/>
          <w:kern w:val="44"/>
          <w:sz w:val="44"/>
          <w:szCs w:val="44"/>
        </w:rPr>
      </w:pPr>
      <w:r>
        <w:br w:type="page"/>
      </w:r>
    </w:p>
    <w:p>
      <w:pPr>
        <w:adjustRightInd w:val="0"/>
        <w:snapToGrid w:val="0"/>
        <w:spacing w:before="156" w:beforeLines="50" w:after="156" w:afterLines="50" w:line="600" w:lineRule="exact"/>
        <w:ind w:firstLine="3534" w:firstLineChars="1100"/>
        <w:rPr>
          <w:rFonts w:hint="eastAsia" w:ascii="黑体" w:hAnsi="黑体" w:eastAsia="黑体" w:cs="黑体"/>
          <w:b/>
          <w:sz w:val="32"/>
          <w:szCs w:val="32"/>
        </w:rPr>
      </w:pPr>
      <w:r>
        <w:rPr>
          <w:rFonts w:hint="eastAsia" w:ascii="黑体" w:hAnsi="黑体" w:eastAsia="黑体" w:cs="黑体"/>
          <w:b/>
          <w:sz w:val="32"/>
          <w:szCs w:val="32"/>
        </w:rPr>
        <w:t>项目需求</w:t>
      </w:r>
    </w:p>
    <w:p>
      <w:pPr>
        <w:spacing w:line="360" w:lineRule="auto"/>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1、供应商须对本项目为单位的服务进行整体响应，任何只对其中一部分内容进行的响应都被视为无效响应。 </w:t>
      </w:r>
    </w:p>
    <w:p>
      <w:pPr>
        <w:spacing w:line="360" w:lineRule="auto"/>
        <w:ind w:firstLine="548" w:firstLineChars="19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2、全文所有要求均为实质性响应条款，供应商如有任何一条负偏离则导致响应（报价）文件无效。</w:t>
      </w:r>
    </w:p>
    <w:p>
      <w:pPr>
        <w:pStyle w:val="2"/>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一、主要实施内容</w:t>
      </w:r>
    </w:p>
    <w:p>
      <w:pPr>
        <w:pStyle w:val="2"/>
        <w:ind w:firstLine="600"/>
        <w:rPr>
          <w:rFonts w:hint="default" w:ascii="仿宋_GB2312" w:hAnsi="仿宋_GB2312" w:cs="仿宋_GB2312"/>
          <w:sz w:val="28"/>
          <w:szCs w:val="28"/>
          <w:lang w:val="en-US" w:eastAsia="zh-CN"/>
        </w:rPr>
      </w:pPr>
      <w:r>
        <w:rPr>
          <w:rFonts w:hint="eastAsia" w:ascii="仿宋_GB2312" w:hAnsi="仿宋_GB2312" w:cs="仿宋_GB2312"/>
          <w:sz w:val="28"/>
          <w:szCs w:val="28"/>
          <w:lang w:val="en-US" w:eastAsia="zh-CN"/>
        </w:rPr>
        <w:t>本项目主要实施内容为：对分公司厂区车辆入场、地下生产区域、地面卸药区三个区域车辆安全管理监控部分进行改造，实现车辆识别与统计（不限于车型、长宽高等识别）、测量速度、超速警报、急弯危险警报等智能预警功能，并通过通信协议将通行车辆上传至网页管理平台进行记录存档，以方便后期数据分析与调用，监控朔源等。详见下表工程量清单：</w:t>
      </w:r>
    </w:p>
    <w:tbl>
      <w:tblPr>
        <w:tblStyle w:val="25"/>
        <w:tblW w:w="9945" w:type="dxa"/>
        <w:tblInd w:w="-78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5"/>
        <w:gridCol w:w="1005"/>
        <w:gridCol w:w="1020"/>
        <w:gridCol w:w="6390"/>
        <w:gridCol w:w="540"/>
        <w:gridCol w:w="5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465" w:type="dxa"/>
            <w:tcBorders>
              <w:top w:val="single" w:color="auto" w:sz="12"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序号</w:t>
            </w:r>
          </w:p>
        </w:tc>
        <w:tc>
          <w:tcPr>
            <w:tcW w:w="1005"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名称</w:t>
            </w:r>
          </w:p>
        </w:tc>
        <w:tc>
          <w:tcPr>
            <w:tcW w:w="1020"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lang w:val="en-US"/>
              </w:rPr>
            </w:pPr>
            <w:r>
              <w:rPr>
                <w:rFonts w:hint="eastAsia" w:ascii="仿宋_GB2312" w:hAnsi="仿宋_GB2312" w:eastAsia="仿宋_GB2312" w:cs="仿宋_GB2312"/>
                <w:b/>
                <w:bCs/>
                <w:i w:val="0"/>
                <w:iCs w:val="0"/>
                <w:color w:val="000000"/>
                <w:kern w:val="0"/>
                <w:sz w:val="20"/>
                <w:szCs w:val="20"/>
                <w:u w:val="none"/>
                <w:lang w:val="en-US" w:eastAsia="zh-CN" w:bidi="ar"/>
              </w:rPr>
              <w:t>项目名称描述</w:t>
            </w:r>
          </w:p>
        </w:tc>
        <w:tc>
          <w:tcPr>
            <w:tcW w:w="6390"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主要功能参数</w:t>
            </w:r>
          </w:p>
        </w:tc>
        <w:tc>
          <w:tcPr>
            <w:tcW w:w="540"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数量</w:t>
            </w:r>
          </w:p>
        </w:tc>
        <w:tc>
          <w:tcPr>
            <w:tcW w:w="525"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9945" w:type="dxa"/>
            <w:gridSpan w:val="6"/>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1.重点车辆入场管理（</w:t>
            </w:r>
            <w:r>
              <w:rPr>
                <w:rFonts w:hint="eastAsia" w:ascii="仿宋_GB2312" w:hAnsi="仿宋_GB2312" w:eastAsia="仿宋_GB2312" w:cs="仿宋_GB2312"/>
                <w:lang w:val="en-US" w:eastAsia="zh-CN"/>
              </w:rPr>
              <w:t>整个厂区车辆入场管理部分</w:t>
            </w:r>
            <w:r>
              <w:rPr>
                <w:rFonts w:hint="eastAsia" w:ascii="仿宋_GB2312" w:hAnsi="仿宋_GB2312" w:eastAsia="仿宋_GB2312" w:cs="仿宋_GB2312"/>
                <w:b/>
                <w:bCs/>
                <w:i w:val="0"/>
                <w:iCs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5" w:hRule="exact"/>
        </w:trPr>
        <w:tc>
          <w:tcPr>
            <w:tcW w:w="465" w:type="dxa"/>
            <w:tcBorders>
              <w:top w:val="single" w:color="auto" w:sz="4" w:space="0"/>
              <w:left w:val="single" w:color="auto" w:sz="12"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1</w:t>
            </w:r>
          </w:p>
        </w:tc>
        <w:tc>
          <w:tcPr>
            <w:tcW w:w="100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kern w:val="0"/>
                <w:sz w:val="16"/>
                <w:szCs w:val="16"/>
                <w:u w:val="none"/>
                <w:lang w:val="en-US" w:eastAsia="zh-CN" w:bidi="ar"/>
              </w:rPr>
              <w:t>车型识别系统-低位版</w:t>
            </w:r>
          </w:p>
        </w:tc>
        <w:tc>
          <w:tcPr>
            <w:tcW w:w="1020"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000000"/>
                <w:kern w:val="0"/>
                <w:sz w:val="16"/>
                <w:szCs w:val="16"/>
                <w:u w:val="none"/>
                <w:lang w:val="en-US" w:eastAsia="zh-CN" w:bidi="ar"/>
              </w:rPr>
              <w:t>车型识别系统-低位版设备</w:t>
            </w:r>
          </w:p>
        </w:tc>
        <w:tc>
          <w:tcPr>
            <w:tcW w:w="6390"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由300万像素车头抓拍、300万像素车尾抓拍、车身扫描摄像机组成；根据JTT-2019行业标准要求，采用深度学习图像识别技术，自动识别客运车辆、货运车辆、专项作业车辆，并根据车长、座位数、轴数等将其识别分类车型识别：识别以下车型：客1、客2、客3、客4、货1、货2、货3、货4、货5、货6。</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参数：1）车身摄像机:200万像素1/2.8英寸星光级CMOS传感器,1.5mm镜头；</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2）车头车尾相机：300万像素1/2.8英寸星光级CMOS传感器，6mm镜头；</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3）有效像素:根据实际车辆拼接图像而定</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4) 最低照度:≤0.01LUX彩色</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5) 网络协议：支持多种网络协议</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6) 视频帧率:120fps@ H.264</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7) 视频压缩标准:H.264 High Profile</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 xml:space="preserve">8）输出码率：64kbps~12Mbps </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9）码流：1080P；10）功耗：≤180W；11）供电：AC100~240V，50~60Hz</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12）工作温度：-40~+60℃；13）防护等级：IP66</w:t>
            </w:r>
            <w:r>
              <w:rPr>
                <w:rFonts w:hint="eastAsia" w:ascii="仿宋_GB2312" w:hAnsi="仿宋_GB2312" w:eastAsia="仿宋_GB2312" w:cs="仿宋_GB2312"/>
                <w:i w:val="0"/>
                <w:iCs w:val="0"/>
                <w:color w:val="auto"/>
                <w:kern w:val="0"/>
                <w:sz w:val="16"/>
                <w:szCs w:val="16"/>
                <w:u w:val="none"/>
                <w:lang w:val="en-US" w:eastAsia="zh-CN" w:bidi="ar"/>
              </w:rPr>
              <w:br w:type="textWrapping"/>
            </w:r>
          </w:p>
        </w:tc>
        <w:tc>
          <w:tcPr>
            <w:tcW w:w="540"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52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75" w:hRule="atLeast"/>
        </w:trPr>
        <w:tc>
          <w:tcPr>
            <w:tcW w:w="9945" w:type="dxa"/>
            <w:gridSpan w:val="6"/>
            <w:tcBorders>
              <w:top w:val="single" w:color="auto" w:sz="12" w:space="0"/>
              <w:left w:val="single" w:color="auto" w:sz="12"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2.生产区域重点车辆安全管理（</w:t>
            </w:r>
            <w:r>
              <w:rPr>
                <w:rFonts w:hint="eastAsia" w:ascii="仿宋_GB2312" w:hAnsi="仿宋_GB2312" w:eastAsia="仿宋_GB2312" w:cs="仿宋_GB2312"/>
                <w:lang w:val="en-US" w:eastAsia="zh-CN"/>
              </w:rPr>
              <w:t>地下生产区域车辆安全管理部分</w:t>
            </w:r>
            <w:r>
              <w:rPr>
                <w:rFonts w:hint="eastAsia" w:ascii="仿宋_GB2312" w:hAnsi="仿宋_GB2312" w:eastAsia="仿宋_GB2312" w:cs="仿宋_GB2312"/>
                <w:b/>
                <w:bCs/>
                <w:i w:val="0"/>
                <w:iCs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3" w:hRule="exact"/>
        </w:trPr>
        <w:tc>
          <w:tcPr>
            <w:tcW w:w="465" w:type="dxa"/>
            <w:tcBorders>
              <w:top w:val="nil"/>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1</w:t>
            </w:r>
          </w:p>
        </w:tc>
        <w:tc>
          <w:tcPr>
            <w:tcW w:w="1005"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kern w:val="0"/>
                <w:sz w:val="16"/>
                <w:szCs w:val="16"/>
                <w:u w:val="none"/>
                <w:lang w:val="en-US" w:eastAsia="zh-CN" w:bidi="ar"/>
              </w:rPr>
              <w:t>大车限速管控一体机</w:t>
            </w:r>
          </w:p>
        </w:tc>
        <w:tc>
          <w:tcPr>
            <w:tcW w:w="1020"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000000"/>
                <w:kern w:val="0"/>
                <w:sz w:val="16"/>
                <w:szCs w:val="16"/>
                <w:u w:val="none"/>
                <w:lang w:val="en-US" w:eastAsia="zh-CN" w:bidi="ar"/>
              </w:rPr>
              <w:t>大车限速管控一体机设备</w:t>
            </w:r>
          </w:p>
        </w:tc>
        <w:tc>
          <w:tcPr>
            <w:tcW w:w="6390" w:type="dxa"/>
            <w:tcBorders>
              <w:top w:val="nil"/>
              <w:left w:val="nil"/>
              <w:bottom w:val="single" w:color="auto" w:sz="4" w:space="0"/>
              <w:right w:val="single" w:color="auto" w:sz="4" w:space="0"/>
            </w:tcBorders>
            <w:shd w:val="clear" w:color="000000" w:fill="FFFFFF"/>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auto"/>
                <w:sz w:val="16"/>
                <w:szCs w:val="16"/>
                <w:u w:val="none"/>
              </w:rPr>
            </w:pPr>
            <w:r>
              <w:rPr>
                <w:rStyle w:val="61"/>
                <w:rFonts w:hint="eastAsia" w:ascii="仿宋_GB2312" w:hAnsi="仿宋_GB2312" w:eastAsia="仿宋_GB2312" w:cs="仿宋_GB2312"/>
                <w:b/>
                <w:bCs/>
                <w:color w:val="000000" w:themeColor="text1"/>
                <w:sz w:val="16"/>
                <w:szCs w:val="16"/>
                <w:lang w:val="en-US" w:eastAsia="zh-CN" w:bidi="ar"/>
                <w14:textFill>
                  <w14:solidFill>
                    <w14:schemeClr w14:val="tx1"/>
                  </w14:solidFill>
                </w14:textFill>
              </w:rPr>
              <w:t>显示进入负一层生产区域急转弯下坡区域车辆的下坡速度、播报来车语音提醒车辆及维修室维护人员。</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模组尺寸：320mm*160mm</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模组分辨率：104X52</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显示颜色：≥43980亿种</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最佳视距：≥3M</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可视角度：水平：≥140°垂直≥140°</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亮度调节：256级软件调节，10级自动调节</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换帧频率：≥60HZ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刷新频率：≥1920HZ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控制方式：支持有线、WiFl、3G/4G云播放</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视频信号：NTSC</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屏体寿命：≥100,000小时.</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连续工作时间：＞72小时</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平均无故障时间：＞1,000小时</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屏体重量：≤30KG/㎡</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★有线网络：不少于1 个千兆光口，支持环网、VLAN；不少于1个千兆网口，支持POE++</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 xml:space="preserve">接口：包括单不限1 路 RS485 </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工作温度： -20~65℃</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★广播：功率：30W，输入电压：~220V  50Hz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频响：80-16KHz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防护等级：IP66</w:t>
            </w:r>
          </w:p>
        </w:tc>
        <w:tc>
          <w:tcPr>
            <w:tcW w:w="540"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525"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30" w:hRule="atLeast"/>
        </w:trPr>
        <w:tc>
          <w:tcPr>
            <w:tcW w:w="465"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2</w:t>
            </w:r>
          </w:p>
        </w:tc>
        <w:tc>
          <w:tcPr>
            <w:tcW w:w="1005"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单目轻型雷视一体机</w:t>
            </w:r>
          </w:p>
        </w:tc>
        <w:tc>
          <w:tcPr>
            <w:tcW w:w="1020"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auto"/>
                <w:kern w:val="0"/>
                <w:sz w:val="16"/>
                <w:szCs w:val="16"/>
                <w:u w:val="none"/>
                <w:lang w:val="en-US" w:eastAsia="zh-CN" w:bidi="ar"/>
              </w:rPr>
              <w:t>单目轻型雷视一体机设备</w:t>
            </w:r>
          </w:p>
        </w:tc>
        <w:tc>
          <w:tcPr>
            <w:tcW w:w="6390" w:type="dxa"/>
            <w:tcBorders>
              <w:top w:val="single" w:color="auto" w:sz="4" w:space="0"/>
              <w:left w:val="nil"/>
              <w:bottom w:val="single" w:color="auto" w:sz="4" w:space="0"/>
              <w:right w:val="single" w:color="auto" w:sz="4" w:space="0"/>
            </w:tcBorders>
            <w:shd w:val="clear" w:color="000000" w:fill="FFFFFF"/>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支持智能识别车辆类型，包括大货车，小货车，中货车，工程车，混凝土泵车，重型运输车，渣土车，消防车，清扫车，排污车，垃圾运输车，油罐车，水泥车，泥头车</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传感器类型 1/1.8 英寸 CMOS，光圈 F1.0，低照度 0.001Lux</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内存 2G Byte DDR4，储存 8G Byte eMMC，扩展模块 内置 24G</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快门方式 电子快门，电子快门 1/30s～1/30000s（可手动或自动调节）</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曝光模式 自动/手动</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像分辨率 2688×1520（不包含 OSD 黑边）</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视频分辨率 2K（2688×1520）/1080P（1920×1080），视频帧率 主码流（3840×2160@25fps）</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，视频码率 H.264：视频压缩标准 H.264，视场角 H：43.1°；V：24.7°；D：50.1°</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图片编码格式 JPEG</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宽动态 &gt;100dB</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白平衡 自动；手动，降噪 2D/3D 降噪</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日夜转换 支持 ICR 切换（可选）</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补光灯 4 颗（暖光灯），补光灯色温 3250K，补光灯亮度调节，亮度可调节</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毫米波雷达，雷达发射频率 24GHz，测速范围 0～+200km/h，测速精度 ±0.5km/h，测量误差 ±0.4m</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网络接口 1 个 RJ-45 以太网口，支持 10/100/1000M 网络数据传输，RS-485接口 1 个，连接常亮灯等</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供电方式 AC100V～AC240V（50Hz），功耗 ≤12W</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工作温度 -30℃~+75℃，储存温度 -40℃~+65℃，工作湿度 10%～90%RH（无凝结），储存湿度 10%～90%RH（无凝结）</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产品尺寸 376mm×139mm×164.7mm（长×宽×高），安装方式 万向节安装</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镜头 标配10mm</w:t>
            </w:r>
          </w:p>
        </w:tc>
        <w:tc>
          <w:tcPr>
            <w:tcW w:w="540"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52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5" w:hRule="exact"/>
        </w:trPr>
        <w:tc>
          <w:tcPr>
            <w:tcW w:w="465"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3</w:t>
            </w:r>
          </w:p>
        </w:tc>
        <w:tc>
          <w:tcPr>
            <w:tcW w:w="1005"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雷达测速仪</w:t>
            </w:r>
          </w:p>
        </w:tc>
        <w:tc>
          <w:tcPr>
            <w:tcW w:w="1020"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auto"/>
                <w:kern w:val="0"/>
                <w:sz w:val="16"/>
                <w:szCs w:val="16"/>
                <w:u w:val="none"/>
                <w:lang w:val="en-US" w:eastAsia="zh-CN" w:bidi="ar"/>
              </w:rPr>
              <w:t>雷达测速仪设备</w:t>
            </w:r>
          </w:p>
        </w:tc>
        <w:tc>
          <w:tcPr>
            <w:tcW w:w="6390"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kern w:val="0"/>
                <w:sz w:val="16"/>
                <w:szCs w:val="16"/>
                <w:u w:val="none"/>
                <w:lang w:val="en-US" w:eastAsia="zh-CN" w:bidi="ar"/>
              </w:rPr>
              <w:t>生产区内限速设备</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外形尺寸：1100*600*90mm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显示屏：数码管、红绿双色显示区域450*390mm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外壳材质：镀锌钢板+喷塑户外交通黄</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防水等级：IP53</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工作温度：-40-+70°C</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工作电压：AC220V</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可视距离：&gt;100-250米</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工作触发：精确反馈型毫米波雷达</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速度控制：无线遥控5-99Km/h</w:t>
            </w:r>
          </w:p>
        </w:tc>
        <w:tc>
          <w:tcPr>
            <w:tcW w:w="540"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52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945" w:type="dxa"/>
            <w:gridSpan w:val="6"/>
            <w:tcBorders>
              <w:top w:val="single" w:color="auto" w:sz="12" w:space="0"/>
              <w:left w:val="single" w:color="auto" w:sz="12"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3.卸药区重点车辆安全管理（</w:t>
            </w:r>
            <w:r>
              <w:rPr>
                <w:rFonts w:hint="eastAsia" w:ascii="仿宋_GB2312" w:hAnsi="仿宋_GB2312" w:eastAsia="仿宋_GB2312" w:cs="仿宋_GB2312"/>
                <w:lang w:val="en-US" w:eastAsia="zh-CN"/>
              </w:rPr>
              <w:t>地面卸药区车辆安全管理部分</w:t>
            </w:r>
            <w:r>
              <w:rPr>
                <w:rFonts w:hint="eastAsia" w:ascii="仿宋_GB2312" w:hAnsi="仿宋_GB2312" w:eastAsia="仿宋_GB2312" w:cs="仿宋_GB2312"/>
                <w:b/>
                <w:bCs/>
                <w:i w:val="0"/>
                <w:iCs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7" w:hRule="exact"/>
        </w:trPr>
        <w:tc>
          <w:tcPr>
            <w:tcW w:w="465" w:type="dxa"/>
            <w:tcBorders>
              <w:top w:val="nil"/>
              <w:left w:val="single" w:color="auto" w:sz="12" w:space="0"/>
              <w:bottom w:val="nil"/>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1</w:t>
            </w:r>
          </w:p>
        </w:tc>
        <w:tc>
          <w:tcPr>
            <w:tcW w:w="1005"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雷达测速仪</w:t>
            </w:r>
          </w:p>
        </w:tc>
        <w:tc>
          <w:tcPr>
            <w:tcW w:w="1020" w:type="dxa"/>
            <w:tcBorders>
              <w:top w:val="nil"/>
              <w:left w:val="nil"/>
              <w:bottom w:val="nil"/>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雷达测速仪设备</w:t>
            </w:r>
          </w:p>
        </w:tc>
        <w:tc>
          <w:tcPr>
            <w:tcW w:w="6390" w:type="dxa"/>
            <w:tcBorders>
              <w:top w:val="nil"/>
              <w:left w:val="nil"/>
              <w:bottom w:val="nil"/>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kern w:val="0"/>
                <w:sz w:val="16"/>
                <w:szCs w:val="16"/>
                <w:u w:val="none"/>
                <w:lang w:val="en-US" w:eastAsia="zh-CN" w:bidi="ar"/>
              </w:rPr>
              <w:t>生产区内限速设备</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外形尺寸：1100*600*90mm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显示屏：数码管、红绿双色显示区域450*390mm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外壳材质：镀锌钢板+喷塑户外交通黄</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防水等级：IP53</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工作温度：-40-+70°C</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工作电压：AC220V</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可视距离：&gt;100-250米</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工作触发：精确反馈型毫米波雷达</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速度控制：无线遥控5-99Km/h</w:t>
            </w:r>
          </w:p>
        </w:tc>
        <w:tc>
          <w:tcPr>
            <w:tcW w:w="540" w:type="dxa"/>
            <w:tcBorders>
              <w:top w:val="nil"/>
              <w:left w:val="nil"/>
              <w:bottom w:val="nil"/>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525" w:type="dxa"/>
            <w:tcBorders>
              <w:top w:val="nil"/>
              <w:left w:val="nil"/>
              <w:bottom w:val="nil"/>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r>
    </w:tbl>
    <w:p>
      <w:pPr>
        <w:widowControl w:val="0"/>
        <w:numPr>
          <w:ilvl w:val="0"/>
          <w:numId w:val="5"/>
        </w:numPr>
        <w:adjustRightInd w:val="0"/>
        <w:snapToGrid w:val="0"/>
        <w:spacing w:line="300" w:lineRule="auto"/>
        <w:jc w:val="both"/>
        <w:rPr>
          <w:rFonts w:hint="eastAsia" w:asciiTheme="minorEastAsia" w:hAnsiTheme="minorEastAsia" w:eastAsiaTheme="minorEastAsia" w:cstheme="minorBidi"/>
          <w:b/>
          <w:color w:val="auto"/>
          <w:kern w:val="2"/>
          <w:sz w:val="32"/>
          <w:szCs w:val="32"/>
          <w:highlight w:val="none"/>
          <w:lang w:val="en-US" w:eastAsia="zh-CN" w:bidi="ar-SA"/>
        </w:rPr>
      </w:pPr>
      <w:r>
        <w:rPr>
          <w:rFonts w:hint="eastAsia" w:asciiTheme="minorEastAsia" w:hAnsiTheme="minorEastAsia" w:eastAsiaTheme="minorEastAsia" w:cstheme="minorBidi"/>
          <w:b/>
          <w:color w:val="auto"/>
          <w:kern w:val="2"/>
          <w:sz w:val="32"/>
          <w:szCs w:val="32"/>
          <w:highlight w:val="none"/>
          <w:lang w:val="en-US" w:eastAsia="zh-CN" w:bidi="ar-SA"/>
        </w:rPr>
        <w:t>项目要求</w:t>
      </w:r>
    </w:p>
    <w:p>
      <w:pPr>
        <w:pStyle w:val="2"/>
        <w:numPr>
          <w:ilvl w:val="0"/>
          <w:numId w:val="0"/>
        </w:numPr>
        <w:rPr>
          <w:rFonts w:hint="eastAsia" w:ascii="仿宋_GB2312" w:hAnsi="仿宋_GB2312" w:eastAsia="仿宋_GB2312" w:cs="仿宋_GB2312"/>
          <w:sz w:val="28"/>
          <w:szCs w:val="28"/>
        </w:rPr>
      </w:pPr>
      <w:r>
        <w:rPr>
          <w:rFonts w:hint="eastAsia"/>
          <w:lang w:val="en-US" w:eastAsia="zh-CN"/>
        </w:rPr>
        <w:t xml:space="preserve">    </w:t>
      </w:r>
      <w:r>
        <w:rPr>
          <w:rFonts w:hint="eastAsia" w:ascii="仿宋_GB2312" w:hAnsi="仿宋_GB2312" w:eastAsia="仿宋_GB2312" w:cs="仿宋_GB2312"/>
          <w:sz w:val="28"/>
          <w:szCs w:val="28"/>
          <w:lang w:val="en-US" w:eastAsia="zh-CN"/>
        </w:rPr>
        <w:t>1、系统组成</w:t>
      </w:r>
      <w:bookmarkEnd w:id="47"/>
    </w:p>
    <w:p>
      <w:pPr>
        <w:pStyle w:val="54"/>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系统由感知层、服务层、数据层和应用层组成；</w:t>
      </w:r>
    </w:p>
    <w:p>
      <w:pPr>
        <w:pStyle w:val="54"/>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感知层包括感知设备车型识别一体机和单目轻型雷视一体机、雷达测速仪组成；车型识别一体机在入场管理提供视频感知能力和车辆长宽高的检测，内置芯片实现对多种车型识别。雷视一体机提供视频感知能力和车辆距离检测，内置芯片实现对多种车型识别，大车限速管控一体机具备物联对接与声光报警功能, 显示进入生产区车辆的下坡速度、播报来车语音提醒车辆及维修室维护人员。雷达测速仪具备声光报警功能在生产区内闸门处、卸药处提示运输车辆限速，达到限速及安全行使。</w:t>
      </w:r>
    </w:p>
    <w:p>
      <w:pPr>
        <w:pStyle w:val="54"/>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服务层主要包括设备的接入，视图数据处理识别运输车及对应数据，提供物联对接能力；</w:t>
      </w:r>
    </w:p>
    <w:p>
      <w:pPr>
        <w:pStyle w:val="54"/>
        <w:ind w:firstLine="48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数据层存储相关感知数据和报警数据；</w:t>
      </w:r>
    </w:p>
    <w:p>
      <w:pPr>
        <w:pStyle w:val="2"/>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应用层包括设备管理与配置，声光报警设置和历史记录查询等功能。</w:t>
      </w:r>
      <w:bookmarkStart w:id="48" w:name="_Toc198053007"/>
      <w:r>
        <w:rPr>
          <w:rFonts w:hint="eastAsia" w:ascii="仿宋_GB2312" w:hAnsi="仿宋_GB2312" w:eastAsia="仿宋_GB2312" w:cs="仿宋_GB2312"/>
          <w:sz w:val="28"/>
          <w:szCs w:val="28"/>
        </w:rPr>
        <w:drawing>
          <wp:inline distT="0" distB="0" distL="0" distR="0">
            <wp:extent cx="5457190" cy="2524760"/>
            <wp:effectExtent l="0" t="0" r="10160" b="8890"/>
            <wp:docPr id="4619708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970863"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457190" cy="2524760"/>
                    </a:xfrm>
                    <a:prstGeom prst="rect">
                      <a:avLst/>
                    </a:prstGeom>
                    <a:noFill/>
                  </pic:spPr>
                </pic:pic>
              </a:graphicData>
            </a:graphic>
          </wp:inline>
        </w:drawing>
      </w:r>
      <w:bookmarkEnd w:id="48"/>
    </w:p>
    <w:p>
      <w:pPr>
        <w:pStyle w:val="2"/>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系统组成</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2、各部分</w:t>
      </w:r>
      <w:r>
        <w:rPr>
          <w:rFonts w:hint="eastAsia" w:ascii="仿宋_GB2312" w:hAnsi="仿宋_GB2312" w:cs="仿宋_GB2312"/>
          <w:sz w:val="28"/>
          <w:szCs w:val="28"/>
          <w:lang w:val="en-US" w:eastAsia="zh-CN"/>
        </w:rPr>
        <w:t>设备</w:t>
      </w:r>
      <w:r>
        <w:rPr>
          <w:rFonts w:hint="eastAsia" w:ascii="仿宋_GB2312" w:hAnsi="仿宋_GB2312" w:eastAsia="仿宋_GB2312" w:cs="仿宋_GB2312"/>
          <w:sz w:val="28"/>
          <w:szCs w:val="28"/>
          <w:lang w:val="en-US" w:eastAsia="zh-CN"/>
        </w:rPr>
        <w:t>主要功能：</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2.1车型识别系统-低位版</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由车头识别摄像机、120帧车身扫描摄像机、车尾识别摄像机、AI识别器、补光单元等系统组成；含图像采集、图像处理、车辆定位、车辆检测、视频录像、车牌识别、车型识别、轴数识别、轴型识别、危化品车识别等；能够自动精准识别车辆收费类型和车辆分类。</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可支持LED补光和气体爆闪灯并行补光方式，夜间、低照度等条件下仍能够提供清晰度高、穿透力强的车脸和车内图像</w:t>
      </w:r>
      <w:r>
        <w:rPr>
          <w:rFonts w:hint="eastAsia" w:ascii="仿宋_GB2312" w:hAnsi="仿宋_GB2312" w:cs="仿宋_GB2312"/>
          <w:sz w:val="28"/>
          <w:szCs w:val="28"/>
          <w:lang w:val="en-US" w:eastAsia="zh-CN"/>
        </w:rPr>
        <w:t>及</w:t>
      </w:r>
      <w:r>
        <w:rPr>
          <w:rFonts w:hint="eastAsia" w:ascii="仿宋_GB2312" w:hAnsi="仿宋_GB2312" w:eastAsia="仿宋_GB2312" w:cs="仿宋_GB2312"/>
          <w:sz w:val="28"/>
          <w:szCs w:val="28"/>
          <w:lang w:val="en-US" w:eastAsia="zh-CN"/>
        </w:rPr>
        <w:t>车尾取证图片及识别信息为系统实现多维度精细化特征识别提供基础</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可实现160度广角车身图像采集和智能识别，可提供车辆轴数、轴型、轴距、车长等丰富的车身特征信息</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采用低功耗CPU和神经网络计算组件，可依托AI深度学习神经网络和车脸、车身图像实现车牌信息、品牌、车款、收费车型、车辆类别、车辆颜色等多维度特征识别</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毫米波雷达、LED补光灯以及可选的气体爆闪灯构成，可提供多角度多视角的车辆智能辅助触发和智能补光功能</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基于车辆图像特征、运动速度、空间几何特征、图像融合分析等技术，通过侧向摄像机持续跟踪并对超长车辆的车身图像进行重建。系统将重建的完整车辆图像与摄像机物理标定信息进行比对、测量，最终获得车辆车头高度、轮胎位置、轴数、轴距、车辆长度等分类支撑数据，并结合牌照识别和粗略分类的结果对车辆类型进行最终判定，并生成唯一的判定结果输出给相关联的车辆分类应用系统。</w:t>
      </w:r>
    </w:p>
    <w:p>
      <w:pPr>
        <w:pStyle w:val="2"/>
        <w:numPr>
          <w:ilvl w:val="0"/>
          <w:numId w:val="0"/>
        </w:numPr>
        <w:ind w:firstLine="560" w:firstLineChars="200"/>
        <w:rPr>
          <w:rFonts w:hint="eastAsia" w:ascii="仿宋_GB2312" w:hAnsi="仿宋_GB2312" w:eastAsia="仿宋_GB2312" w:cs="仿宋_GB2312"/>
          <w:sz w:val="28"/>
          <w:szCs w:val="28"/>
          <w:lang w:val="en-US" w:eastAsia="zh-CN"/>
        </w:rPr>
      </w:pPr>
      <w:bookmarkStart w:id="49" w:name="_Toc198053008"/>
      <w:r>
        <w:rPr>
          <w:rFonts w:hint="eastAsia" w:ascii="仿宋_GB2312" w:hAnsi="仿宋_GB2312" w:eastAsia="仿宋_GB2312" w:cs="仿宋_GB2312"/>
          <w:sz w:val="28"/>
          <w:szCs w:val="28"/>
          <w:lang w:val="en-US" w:eastAsia="zh-CN"/>
        </w:rPr>
        <w:t>2.2单目轻型雷视一体机</w:t>
      </w:r>
      <w:bookmarkEnd w:id="49"/>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单目轻型雷视一体机融合了可见光及毫米波雷达，前端集成高性能 AI 处理芯片，内嵌深度学习算法，完美融合雷视数据，实时采集机非人结构化信息数据，实现道路安全预警等事件检测的业务。</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具备</w:t>
      </w:r>
      <w:r>
        <w:rPr>
          <w:rFonts w:hint="eastAsia" w:ascii="仿宋_GB2312" w:hAnsi="仿宋_GB2312" w:eastAsia="仿宋_GB2312" w:cs="仿宋_GB2312"/>
          <w:sz w:val="28"/>
          <w:szCs w:val="28"/>
          <w:lang w:val="en-US" w:eastAsia="zh-CN"/>
        </w:rPr>
        <w:t>视频和雷达融合多维感知</w:t>
      </w:r>
      <w:r>
        <w:rPr>
          <w:rFonts w:hint="eastAsia" w:ascii="仿宋_GB2312" w:hAnsi="仿宋_GB2312" w:cs="仿宋_GB2312"/>
          <w:sz w:val="28"/>
          <w:szCs w:val="28"/>
          <w:lang w:val="en-US" w:eastAsia="zh-CN"/>
        </w:rPr>
        <w:t>能力，</w:t>
      </w:r>
      <w:r>
        <w:rPr>
          <w:rFonts w:hint="eastAsia" w:ascii="仿宋_GB2312" w:hAnsi="仿宋_GB2312" w:eastAsia="仿宋_GB2312" w:cs="仿宋_GB2312"/>
          <w:sz w:val="28"/>
          <w:szCs w:val="28"/>
          <w:lang w:val="en-US" w:eastAsia="zh-CN"/>
        </w:rPr>
        <w:t>采用高精度毫米波雷达与深度学习相机单元进行完美结合，从结构、场景、采集方式到数据信息等多维度深度融合，适用于多种场景；内置专业 AI 智能算法</w:t>
      </w:r>
      <w:bookmarkStart w:id="50" w:name="OLE_LINK2"/>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支持车辆类型结构化智能识别，包括 运输车，小货车，中货车，大客车，工程车，大型吊车，混凝土泵车，皮卡，重型运输车，渣土车，消防车，洒水车，清扫车，排污车，垃圾运输车，皮卡，油罐车，水泥车，泥头车，_三轮车_无车棚，三轮车_有车棚，轿车， SUV，MPV，面包车，救护车，_机动车_小货车_封闭，_小客车，客车，公交车等</w:t>
      </w:r>
      <w:bookmarkEnd w:id="50"/>
      <w:r>
        <w:rPr>
          <w:rFonts w:hint="eastAsia" w:ascii="仿宋_GB2312" w:hAnsi="仿宋_GB2312" w:eastAsia="仿宋_GB2312" w:cs="仿宋_GB2312"/>
          <w:sz w:val="28"/>
          <w:szCs w:val="28"/>
          <w:lang w:val="en-US" w:eastAsia="zh-CN"/>
        </w:rPr>
        <w:t xml:space="preserve"> </w:t>
      </w:r>
      <w:r>
        <w:rPr>
          <w:rFonts w:hint="eastAsia" w:ascii="仿宋_GB2312" w:hAnsi="仿宋_GB2312" w:cs="仿宋_GB2312"/>
          <w:sz w:val="28"/>
          <w:szCs w:val="28"/>
          <w:lang w:val="en-US" w:eastAsia="zh-CN"/>
        </w:rPr>
        <w:t>；</w:t>
      </w:r>
    </w:p>
    <w:p>
      <w:pPr>
        <w:pStyle w:val="2"/>
        <w:numPr>
          <w:ilvl w:val="0"/>
          <w:numId w:val="0"/>
        </w:num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检测区域覆盖大满足多车道的目标轨迹连续跟踪，机动车检测距离最远可达 200 米，最小盲区10米； 低照度、强制抑光、宽动态，并具有多种白平衡模式，适合各种场景需要；上报事件全景图、特征图、过车视频；具备实时输出车距、速度等交通参数</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传感器一体化设计；</w:t>
      </w:r>
    </w:p>
    <w:p>
      <w:pPr>
        <w:pStyle w:val="2"/>
        <w:numPr>
          <w:ilvl w:val="0"/>
          <w:numId w:val="0"/>
        </w:num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前端集成高算力</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高效同时处理两个传感器融合数据；全天候事件检测</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高精度输出目标数据</w:t>
      </w:r>
      <w:r>
        <w:rPr>
          <w:rFonts w:hint="eastAsia" w:ascii="仿宋_GB2312" w:hAnsi="仿宋_GB2312" w:cs="仿宋_GB2312"/>
          <w:sz w:val="28"/>
          <w:szCs w:val="28"/>
          <w:lang w:val="en-US" w:eastAsia="zh-CN"/>
        </w:rPr>
        <w:t>。</w:t>
      </w:r>
    </w:p>
    <w:p>
      <w:pPr>
        <w:pStyle w:val="2"/>
        <w:numPr>
          <w:ilvl w:val="0"/>
          <w:numId w:val="0"/>
        </w:numPr>
        <w:ind w:firstLine="560" w:firstLineChars="200"/>
        <w:rPr>
          <w:rFonts w:hint="eastAsia" w:ascii="仿宋_GB2312" w:hAnsi="仿宋_GB2312" w:eastAsia="仿宋_GB2312" w:cs="仿宋_GB2312"/>
          <w:sz w:val="28"/>
          <w:szCs w:val="28"/>
          <w:lang w:val="en-US" w:eastAsia="zh-CN"/>
        </w:rPr>
      </w:pPr>
      <w:bookmarkStart w:id="51" w:name="_Toc198053015"/>
      <w:r>
        <w:rPr>
          <w:rFonts w:hint="eastAsia" w:ascii="仿宋_GB2312" w:hAnsi="仿宋_GB2312" w:eastAsia="仿宋_GB2312" w:cs="仿宋_GB2312"/>
          <w:sz w:val="28"/>
          <w:szCs w:val="28"/>
          <w:lang w:val="en-US" w:eastAsia="zh-CN"/>
        </w:rPr>
        <w:t>2.3大车限速管控一体机</w:t>
      </w:r>
      <w:bookmarkEnd w:id="51"/>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右转一体机预警系统可对车辆驾驶人及周边的行人、非机动车均形成双向预警提示，从而预防和减少公交车等大型车辆在右转时产生的“内轮差”盲区，降低和避免途经行人和非机动车产生的交通事故隐患。系统集 AI 识别、边缘计算、广播于一体，根据场景配置车辆结构化、车流量、车辆追踪、车牌库比对、占道经营等识别算法。</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具备</w:t>
      </w:r>
      <w:r>
        <w:rPr>
          <w:rFonts w:hint="eastAsia" w:ascii="仿宋_GB2312" w:hAnsi="仿宋_GB2312" w:eastAsia="仿宋_GB2312" w:cs="仿宋_GB2312"/>
          <w:sz w:val="28"/>
          <w:szCs w:val="28"/>
          <w:lang w:val="en-US" w:eastAsia="zh-CN"/>
        </w:rPr>
        <w:t>视频检测和雷达融合，检测盲区行人、非机动车</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有大车经过时打开，自动预警行人和非机动车</w:t>
      </w:r>
      <w:r>
        <w:rPr>
          <w:rFonts w:hint="eastAsia" w:ascii="仿宋_GB2312" w:hAnsi="仿宋_GB2312" w:cs="仿宋_GB2312"/>
          <w:sz w:val="28"/>
          <w:szCs w:val="28"/>
          <w:lang w:val="en-US" w:eastAsia="zh-CN"/>
        </w:rPr>
        <w:t>功能</w:t>
      </w:r>
      <w:r>
        <w:rPr>
          <w:rFonts w:hint="eastAsia" w:ascii="仿宋_GB2312" w:hAnsi="仿宋_GB2312" w:eastAsia="仿宋_GB2312" w:cs="仿宋_GB2312"/>
          <w:sz w:val="28"/>
          <w:szCs w:val="28"/>
          <w:lang w:val="en-US" w:eastAsia="zh-CN"/>
        </w:rPr>
        <w:t>。</w:t>
      </w:r>
      <w:r>
        <w:rPr>
          <w:rFonts w:hint="eastAsia" w:ascii="仿宋_GB2312" w:hAnsi="仿宋_GB2312" w:cs="仿宋_GB2312"/>
          <w:sz w:val="28"/>
          <w:szCs w:val="28"/>
          <w:lang w:val="en-US" w:eastAsia="zh-CN"/>
        </w:rPr>
        <w:t>可选</w:t>
      </w:r>
      <w:r>
        <w:rPr>
          <w:rFonts w:hint="eastAsia" w:ascii="仿宋_GB2312" w:hAnsi="仿宋_GB2312" w:eastAsia="仿宋_GB2312" w:cs="仿宋_GB2312"/>
          <w:sz w:val="28"/>
          <w:szCs w:val="28"/>
          <w:lang w:val="en-US" w:eastAsia="zh-CN"/>
        </w:rPr>
        <w:t>内置大功率音柱，可声音提醒</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可</w:t>
      </w:r>
      <w:r>
        <w:rPr>
          <w:rFonts w:hint="eastAsia" w:ascii="仿宋_GB2312" w:hAnsi="仿宋_GB2312" w:cs="仿宋_GB2312"/>
          <w:sz w:val="28"/>
          <w:szCs w:val="28"/>
          <w:lang w:val="en-US" w:eastAsia="zh-CN"/>
        </w:rPr>
        <w:t>选</w:t>
      </w:r>
      <w:r>
        <w:rPr>
          <w:rFonts w:hint="eastAsia" w:ascii="仿宋_GB2312" w:hAnsi="仿宋_GB2312" w:eastAsia="仿宋_GB2312" w:cs="仿宋_GB2312"/>
          <w:sz w:val="28"/>
          <w:szCs w:val="28"/>
          <w:lang w:val="en-US" w:eastAsia="zh-CN"/>
        </w:rPr>
        <w:t>联动LED屏，用于警示信息发布。</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2.4</w:t>
      </w:r>
      <w:r>
        <w:rPr>
          <w:rFonts w:hint="eastAsia" w:ascii="仿宋_GB2312" w:hAnsi="仿宋_GB2312" w:eastAsia="仿宋_GB2312" w:cs="仿宋_GB2312"/>
          <w:sz w:val="28"/>
          <w:szCs w:val="28"/>
          <w:lang w:val="en-US" w:eastAsia="zh-CN"/>
        </w:rPr>
        <w:t>雷达测速仪</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通过主动感知路况、声光联动警示、数字语音播报等功能的路侧主动监视预警设施，及时感知并告知来车速度，提示驾驶人安全通过，采用物联网设计思路，升级改造既有路侧主动监测设施，实现自动语音播报，形成重点隐患路口安全管理体系。</w:t>
      </w:r>
    </w:p>
    <w:p>
      <w:pPr>
        <w:pStyle w:val="2"/>
        <w:numPr>
          <w:ilvl w:val="0"/>
          <w:numId w:val="0"/>
        </w:numPr>
        <w:ind w:firstLine="560" w:firstLineChars="200"/>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具备</w:t>
      </w:r>
      <w:r>
        <w:rPr>
          <w:rFonts w:hint="eastAsia" w:ascii="仿宋_GB2312" w:hAnsi="仿宋_GB2312" w:eastAsia="仿宋_GB2312" w:cs="仿宋_GB2312"/>
          <w:sz w:val="28"/>
          <w:szCs w:val="28"/>
          <w:lang w:val="en-US" w:eastAsia="zh-CN"/>
        </w:rPr>
        <w:t>实时检测来车</w:t>
      </w:r>
      <w:r>
        <w:rPr>
          <w:rFonts w:hint="eastAsia" w:ascii="仿宋_GB2312" w:hAnsi="仿宋_GB2312" w:cs="仿宋_GB2312"/>
          <w:sz w:val="28"/>
          <w:szCs w:val="28"/>
          <w:lang w:val="en-US" w:eastAsia="zh-CN"/>
        </w:rPr>
        <w:t>的</w:t>
      </w:r>
      <w:r>
        <w:rPr>
          <w:rFonts w:hint="eastAsia" w:ascii="仿宋_GB2312" w:hAnsi="仿宋_GB2312" w:eastAsia="仿宋_GB2312" w:cs="仿宋_GB2312"/>
          <w:sz w:val="28"/>
          <w:szCs w:val="28"/>
          <w:lang w:val="en-US" w:eastAsia="zh-CN"/>
        </w:rPr>
        <w:t>车道目标检测</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检测距离不低于150米，不低于30°夹角</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智能显示来车实时速度；顶部灯方便主路来车远处观察；机身爆闪灯加强提醒支路来车来人</w:t>
      </w:r>
      <w:r>
        <w:rPr>
          <w:rFonts w:hint="eastAsia" w:ascii="仿宋_GB2312" w:hAnsi="仿宋_GB2312" w:cs="仿宋_GB2312"/>
          <w:sz w:val="28"/>
          <w:szCs w:val="28"/>
          <w:lang w:val="en-US" w:eastAsia="zh-CN"/>
        </w:rPr>
        <w:t>的功能。可</w:t>
      </w:r>
      <w:r>
        <w:rPr>
          <w:rFonts w:hint="eastAsia" w:ascii="仿宋_GB2312" w:hAnsi="仿宋_GB2312" w:eastAsia="仿宋_GB2312" w:cs="仿宋_GB2312"/>
          <w:sz w:val="28"/>
          <w:szCs w:val="28"/>
          <w:lang w:val="en-US" w:eastAsia="zh-CN"/>
        </w:rPr>
        <w:t>具备远程接收和控制，对预警内容和屏显文字及音量能调整；设备工作逻辑可远程升级或调整可远程诊断，故障排查、恢复</w:t>
      </w:r>
      <w:r>
        <w:rPr>
          <w:rFonts w:hint="eastAsia" w:ascii="仿宋_GB2312" w:hAnsi="仿宋_GB2312" w:cs="仿宋_GB2312"/>
          <w:sz w:val="28"/>
          <w:szCs w:val="28"/>
          <w:lang w:val="en-US" w:eastAsia="zh-CN"/>
        </w:rPr>
        <w:t>。</w:t>
      </w:r>
    </w:p>
    <w:p>
      <w:pPr>
        <w:pStyle w:val="2"/>
        <w:numPr>
          <w:ilvl w:val="0"/>
          <w:numId w:val="0"/>
        </w:numPr>
        <w:ind w:firstLine="560" w:firstLineChars="200"/>
        <w:rPr>
          <w:rFonts w:hint="default" w:ascii="仿宋_GB2312" w:hAnsi="仿宋_GB2312" w:cs="仿宋_GB2312"/>
          <w:sz w:val="28"/>
          <w:szCs w:val="28"/>
          <w:lang w:val="en-US" w:eastAsia="zh-CN"/>
        </w:rPr>
      </w:pPr>
      <w:r>
        <w:rPr>
          <w:rFonts w:hint="eastAsia" w:ascii="仿宋_GB2312" w:hAnsi="仿宋_GB2312" w:cs="仿宋_GB2312"/>
          <w:sz w:val="28"/>
          <w:szCs w:val="28"/>
          <w:lang w:val="en-US" w:eastAsia="zh-CN"/>
        </w:rPr>
        <w:t>2.5系统具备功能</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2.5.1</w:t>
      </w:r>
      <w:r>
        <w:rPr>
          <w:rFonts w:hint="eastAsia" w:ascii="仿宋_GB2312" w:hAnsi="仿宋_GB2312" w:eastAsia="仿宋_GB2312" w:cs="仿宋_GB2312"/>
          <w:sz w:val="28"/>
          <w:szCs w:val="28"/>
          <w:lang w:val="en-US" w:eastAsia="zh-CN"/>
        </w:rPr>
        <w:t>车牌识别</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符合“GA36-1992”、“GA36-2001”、“GA36-2007”标准的民用车牌照和“2012式”军车牌照、“2013式”武警车牌照、新能源车牌照、应急救援专用号牌、使馆牌照、领馆牌照的汉字、字母、数字、颜色等信息。车牌捕获率：≥99%、识别准确率: ≥99%。</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2.5.2</w:t>
      </w:r>
      <w:r>
        <w:rPr>
          <w:rFonts w:hint="eastAsia" w:ascii="仿宋_GB2312" w:hAnsi="仿宋_GB2312" w:eastAsia="仿宋_GB2312" w:cs="仿宋_GB2312"/>
          <w:sz w:val="28"/>
          <w:szCs w:val="28"/>
          <w:lang w:val="en-US" w:eastAsia="zh-CN"/>
        </w:rPr>
        <w:t>图像输出</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基于智能三维视频扫描和图像分析技术，完整输出车头照片、车尾照片、拼接还原车身全景高清照片、车牌照片和多5秒的完整过车视频。</w:t>
      </w:r>
    </w:p>
    <w:p>
      <w:pPr>
        <w:pStyle w:val="2"/>
        <w:numPr>
          <w:ilvl w:val="0"/>
          <w:numId w:val="0"/>
        </w:num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drawing>
          <wp:inline distT="0" distB="0" distL="0" distR="0">
            <wp:extent cx="5554980" cy="2876550"/>
            <wp:effectExtent l="0" t="0" r="762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555588" cy="2876981"/>
                    </a:xfrm>
                    <a:prstGeom prst="rect">
                      <a:avLst/>
                    </a:prstGeom>
                    <a:noFill/>
                    <a:ln>
                      <a:noFill/>
                    </a:ln>
                  </pic:spPr>
                </pic:pic>
              </a:graphicData>
            </a:graphic>
          </wp:inline>
        </w:drawing>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2.5.3</w:t>
      </w:r>
      <w:r>
        <w:rPr>
          <w:rFonts w:hint="eastAsia" w:ascii="仿宋_GB2312" w:hAnsi="仿宋_GB2312" w:eastAsia="仿宋_GB2312" w:cs="仿宋_GB2312"/>
          <w:sz w:val="28"/>
          <w:szCs w:val="28"/>
          <w:lang w:val="en-US" w:eastAsia="zh-CN"/>
        </w:rPr>
        <w:t>车型</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val="en-US" w:eastAsia="zh-CN"/>
        </w:rPr>
        <w:t>轴型识别</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符合《JT/T489-2019收费公路车辆通行费车型分类》标准，准确识别收费车型、轴型、轴教、轮数等信息。识别准确率≥99%。</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2.5.4</w:t>
      </w:r>
      <w:r>
        <w:rPr>
          <w:rFonts w:hint="eastAsia" w:ascii="仿宋_GB2312" w:hAnsi="仿宋_GB2312" w:eastAsia="仿宋_GB2312" w:cs="仿宋_GB2312"/>
          <w:sz w:val="28"/>
          <w:szCs w:val="28"/>
          <w:lang w:val="en-US" w:eastAsia="zh-CN"/>
        </w:rPr>
        <w:t>车辆颜色识别</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基于车头相机的抓拍图像可识别车辆颜色，可区分深浅色系车辆，并能够识别常见的十种车辆颜色类型。如:白灰、紫、黑、黄、绿、蓝、红、橙、棕。</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2.5.5</w:t>
      </w:r>
      <w:r>
        <w:rPr>
          <w:rFonts w:hint="eastAsia" w:ascii="仿宋_GB2312" w:hAnsi="仿宋_GB2312" w:eastAsia="仿宋_GB2312" w:cs="仿宋_GB2312"/>
          <w:sz w:val="28"/>
          <w:szCs w:val="28"/>
          <w:lang w:val="en-US" w:eastAsia="zh-CN"/>
        </w:rPr>
        <w:t>车辆外廓测量</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基于智能多维传感器对车辆扫描，通过车辆特征高精度检测及图像分析，可精准识别出车辆的长宽高并输出数据</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2.5.6</w:t>
      </w:r>
      <w:r>
        <w:rPr>
          <w:rFonts w:hint="eastAsia" w:ascii="仿宋_GB2312" w:hAnsi="仿宋_GB2312" w:eastAsia="仿宋_GB2312" w:cs="仿宋_GB2312"/>
          <w:sz w:val="28"/>
          <w:szCs w:val="28"/>
          <w:lang w:val="en-US" w:eastAsia="zh-CN"/>
        </w:rPr>
        <w:t>车辆品牌识别</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品牌识别库不少于300种，车辆年款识别库不少于6500种。</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2.5.7</w:t>
      </w:r>
      <w:r>
        <w:rPr>
          <w:rFonts w:hint="eastAsia" w:ascii="仿宋_GB2312" w:hAnsi="仿宋_GB2312" w:eastAsia="仿宋_GB2312" w:cs="仿宋_GB2312"/>
          <w:sz w:val="28"/>
          <w:szCs w:val="28"/>
          <w:lang w:val="en-US" w:eastAsia="zh-CN"/>
        </w:rPr>
        <w:t>专项作业车识别</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具备《JTT489-2019》标准中定义的专项作业车类型识别功能</w:t>
      </w:r>
    </w:p>
    <w:p>
      <w:pPr>
        <w:pStyle w:val="2"/>
        <w:numPr>
          <w:ilvl w:val="0"/>
          <w:numId w:val="0"/>
        </w:numPr>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drawing>
          <wp:inline distT="0" distB="0" distL="0" distR="0">
            <wp:extent cx="2987040" cy="1280160"/>
            <wp:effectExtent l="0" t="0" r="381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987040" cy="1280160"/>
                    </a:xfrm>
                    <a:prstGeom prst="rect">
                      <a:avLst/>
                    </a:prstGeom>
                    <a:noFill/>
                  </pic:spPr>
                </pic:pic>
              </a:graphicData>
            </a:graphic>
          </wp:inline>
        </w:drawing>
      </w:r>
    </w:p>
    <w:p>
      <w:pPr>
        <w:pStyle w:val="2"/>
        <w:numPr>
          <w:ilvl w:val="0"/>
          <w:numId w:val="0"/>
        </w:numPr>
        <w:ind w:firstLine="560" w:firstLineChars="200"/>
        <w:rPr>
          <w:rFonts w:hint="eastAsia" w:ascii="仿宋_GB2312" w:hAnsi="仿宋_GB2312" w:eastAsia="仿宋_GB2312" w:cs="仿宋_GB2312"/>
          <w:sz w:val="28"/>
          <w:szCs w:val="28"/>
          <w:lang w:val="en-US" w:eastAsia="zh-CN"/>
        </w:rPr>
      </w:pPr>
      <w:bookmarkStart w:id="52" w:name="_Toc198053022"/>
      <w:r>
        <w:rPr>
          <w:rFonts w:hint="eastAsia" w:ascii="仿宋_GB2312" w:hAnsi="仿宋_GB2312" w:cs="仿宋_GB2312"/>
          <w:sz w:val="28"/>
          <w:szCs w:val="28"/>
          <w:lang w:val="en-US" w:eastAsia="zh-CN"/>
        </w:rPr>
        <w:t>2.5.8</w:t>
      </w:r>
      <w:r>
        <w:rPr>
          <w:rFonts w:hint="eastAsia" w:ascii="仿宋_GB2312" w:hAnsi="仿宋_GB2312" w:eastAsia="仿宋_GB2312" w:cs="仿宋_GB2312"/>
          <w:sz w:val="28"/>
          <w:szCs w:val="28"/>
          <w:lang w:val="en-US" w:eastAsia="zh-CN"/>
        </w:rPr>
        <w:t>智能预警</w:t>
      </w:r>
      <w:bookmarkEnd w:id="52"/>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系统可实时监测车辆动态，并通过多重渠道发布预警信息：</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1）</w:t>
      </w:r>
      <w:r>
        <w:rPr>
          <w:rFonts w:hint="eastAsia" w:ascii="仿宋_GB2312" w:hAnsi="仿宋_GB2312" w:eastAsia="仿宋_GB2312" w:cs="仿宋_GB2312"/>
          <w:sz w:val="28"/>
          <w:szCs w:val="28"/>
          <w:lang w:val="en-US" w:eastAsia="zh-CN"/>
        </w:rPr>
        <w:t>快速响应：检测到车辆后，触发预警机制</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w:t>
      </w:r>
      <w:r>
        <w:rPr>
          <w:rFonts w:hint="eastAsia" w:ascii="仿宋_GB2312" w:hAnsi="仿宋_GB2312" w:eastAsia="仿宋_GB2312" w:cs="仿宋_GB2312"/>
          <w:sz w:val="28"/>
          <w:szCs w:val="28"/>
          <w:lang w:val="en-US" w:eastAsia="zh-CN"/>
        </w:rPr>
        <w:t>立体提醒：通过广播系统发出清晰的语音警示；LED信息屏同步展示预警信息；车注意避让</w:t>
      </w:r>
      <w:r>
        <w:rPr>
          <w:rFonts w:hint="eastAsia" w:ascii="仿宋_GB2312" w:hAnsi="仿宋_GB2312" w:cs="仿宋_GB2312"/>
          <w:sz w:val="28"/>
          <w:szCs w:val="28"/>
          <w:lang w:val="en-US" w:eastAsia="zh-CN"/>
        </w:rPr>
        <w:t>。</w:t>
      </w:r>
    </w:p>
    <w:p>
      <w:pPr>
        <w:pStyle w:val="2"/>
        <w:numPr>
          <w:ilvl w:val="0"/>
          <w:numId w:val="0"/>
        </w:numPr>
        <w:ind w:firstLine="560" w:firstLineChars="200"/>
        <w:rPr>
          <w:rFonts w:hint="eastAsia" w:ascii="仿宋_GB2312" w:hAnsi="仿宋_GB2312" w:eastAsia="仿宋_GB2312" w:cs="仿宋_GB2312"/>
          <w:sz w:val="28"/>
          <w:szCs w:val="28"/>
          <w:lang w:val="en-US" w:eastAsia="zh-CN"/>
        </w:rPr>
      </w:pPr>
      <w:bookmarkStart w:id="53" w:name="_Toc198053024"/>
      <w:r>
        <w:rPr>
          <w:rFonts w:hint="eastAsia" w:ascii="仿宋_GB2312" w:hAnsi="仿宋_GB2312" w:cs="仿宋_GB2312"/>
          <w:sz w:val="28"/>
          <w:szCs w:val="28"/>
          <w:lang w:val="en-US" w:eastAsia="zh-CN"/>
        </w:rPr>
        <w:t>2.5.9</w:t>
      </w:r>
      <w:r>
        <w:rPr>
          <w:rFonts w:hint="eastAsia" w:ascii="仿宋_GB2312" w:hAnsi="仿宋_GB2312" w:eastAsia="仿宋_GB2312" w:cs="仿宋_GB2312"/>
          <w:sz w:val="28"/>
          <w:szCs w:val="28"/>
          <w:lang w:val="en-US" w:eastAsia="zh-CN"/>
        </w:rPr>
        <w:t>车辆监管追溯</w:t>
      </w:r>
      <w:bookmarkEnd w:id="53"/>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1）</w:t>
      </w:r>
      <w:r>
        <w:rPr>
          <w:rFonts w:hint="eastAsia" w:ascii="仿宋_GB2312" w:hAnsi="仿宋_GB2312" w:eastAsia="仿宋_GB2312" w:cs="仿宋_GB2312"/>
          <w:sz w:val="28"/>
          <w:szCs w:val="28"/>
          <w:lang w:val="en-US" w:eastAsia="zh-CN"/>
        </w:rPr>
        <w:t>车牌识别：精准捕捉渣土车等特种车辆信息</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w:t>
      </w:r>
      <w:r>
        <w:rPr>
          <w:rFonts w:hint="eastAsia" w:ascii="仿宋_GB2312" w:hAnsi="仿宋_GB2312" w:eastAsia="仿宋_GB2312" w:cs="仿宋_GB2312"/>
          <w:sz w:val="28"/>
          <w:szCs w:val="28"/>
          <w:lang w:val="en-US" w:eastAsia="zh-CN"/>
        </w:rPr>
        <w:t>数据对接：自动将相关信息上传至智慧交通平台</w:t>
      </w:r>
    </w:p>
    <w:p>
      <w:pPr>
        <w:pStyle w:val="2"/>
        <w:numPr>
          <w:ilvl w:val="0"/>
          <w:numId w:val="0"/>
        </w:numPr>
        <w:ind w:firstLine="560" w:firstLineChars="200"/>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3）</w:t>
      </w:r>
      <w:r>
        <w:rPr>
          <w:rFonts w:hint="eastAsia" w:ascii="仿宋_GB2312" w:hAnsi="仿宋_GB2312" w:eastAsia="仿宋_GB2312" w:cs="仿宋_GB2312"/>
          <w:sz w:val="28"/>
          <w:szCs w:val="28"/>
          <w:lang w:val="en-US" w:eastAsia="zh-CN"/>
        </w:rPr>
        <w:t>统计分析：支持多维度的数据统计和分析</w:t>
      </w:r>
    </w:p>
    <w:p>
      <w:pPr>
        <w:keepNext w:val="0"/>
        <w:keepLines w:val="0"/>
        <w:pageBreakBefore w:val="0"/>
        <w:widowControl w:val="0"/>
        <w:kinsoku/>
        <w:wordWrap/>
        <w:overflowPunct/>
        <w:topLinePunct w:val="0"/>
        <w:bidi w:val="0"/>
        <w:adjustRightInd w:val="0"/>
        <w:snapToGrid w:val="0"/>
        <w:spacing w:line="600" w:lineRule="exact"/>
        <w:ind w:firstLine="555"/>
        <w:jc w:val="left"/>
        <w:textAlignment w:val="auto"/>
        <w:rPr>
          <w:rFonts w:hint="eastAsia" w:ascii="仿宋_GB2312" w:eastAsia="仿宋_GB2312" w:hAnsiTheme="minorEastAsia"/>
          <w:color w:val="auto"/>
          <w:sz w:val="28"/>
          <w:szCs w:val="28"/>
          <w:highlight w:val="none"/>
          <w:lang w:val="en-US" w:eastAsia="zh-CN"/>
        </w:rPr>
      </w:pPr>
      <w:r>
        <w:rPr>
          <w:rFonts w:hint="eastAsia" w:ascii="仿宋_GB2312" w:eastAsia="仿宋_GB2312" w:hAnsiTheme="minorEastAsia"/>
          <w:color w:val="auto"/>
          <w:sz w:val="28"/>
          <w:szCs w:val="28"/>
          <w:highlight w:val="none"/>
          <w:lang w:val="en-US" w:eastAsia="zh-CN"/>
        </w:rPr>
        <w:t xml:space="preserve">2.6严格按照国家有关安全生产的法律、法规和相关规程组织维修工作，服从管理，遵守规章制度，做到安全文明施工，对现场操作、施工方法、技术描施的可靠性、安全性负完全责任。因改造工作而导致的一切人身和财产安全责任全部由服务单位承担。 </w:t>
      </w:r>
    </w:p>
    <w:p>
      <w:pPr>
        <w:keepNext w:val="0"/>
        <w:keepLines w:val="0"/>
        <w:pageBreakBefore w:val="0"/>
        <w:widowControl w:val="0"/>
        <w:kinsoku/>
        <w:wordWrap/>
        <w:overflowPunct/>
        <w:topLinePunct w:val="0"/>
        <w:bidi w:val="0"/>
        <w:adjustRightInd w:val="0"/>
        <w:snapToGrid w:val="0"/>
        <w:spacing w:line="600" w:lineRule="exact"/>
        <w:ind w:firstLine="555"/>
        <w:jc w:val="left"/>
        <w:textAlignment w:val="auto"/>
        <w:rPr>
          <w:rFonts w:hint="eastAsia" w:ascii="仿宋_GB2312" w:eastAsia="仿宋_GB2312" w:hAnsiTheme="minorEastAsia"/>
          <w:color w:val="auto"/>
          <w:sz w:val="28"/>
          <w:szCs w:val="28"/>
          <w:highlight w:val="none"/>
          <w:lang w:val="en-US" w:eastAsia="zh-CN"/>
        </w:rPr>
      </w:pPr>
      <w:r>
        <w:rPr>
          <w:rFonts w:hint="eastAsia" w:ascii="仿宋_GB2312" w:eastAsia="仿宋_GB2312" w:hAnsiTheme="minorEastAsia"/>
          <w:color w:val="auto"/>
          <w:sz w:val="28"/>
          <w:szCs w:val="28"/>
          <w:highlight w:val="none"/>
          <w:lang w:val="en-US" w:eastAsia="zh-CN"/>
        </w:rPr>
        <w:t xml:space="preserve">2.7服务单位要严格执行国家行业标准、规范开展改造工作，质量标准的评定以国家、行业的专业工程质量验收评定标准为依据。 </w:t>
      </w:r>
    </w:p>
    <w:p>
      <w:pPr>
        <w:keepNext w:val="0"/>
        <w:keepLines w:val="0"/>
        <w:pageBreakBefore w:val="0"/>
        <w:widowControl w:val="0"/>
        <w:kinsoku/>
        <w:wordWrap/>
        <w:overflowPunct/>
        <w:topLinePunct w:val="0"/>
        <w:bidi w:val="0"/>
        <w:adjustRightInd w:val="0"/>
        <w:snapToGrid w:val="0"/>
        <w:spacing w:line="600" w:lineRule="exact"/>
        <w:ind w:firstLine="555"/>
        <w:jc w:val="left"/>
        <w:textAlignment w:val="auto"/>
        <w:rPr>
          <w:rFonts w:hint="default" w:ascii="仿宋_GB2312" w:eastAsia="仿宋_GB2312" w:hAnsiTheme="minorEastAsia"/>
          <w:color w:val="auto"/>
          <w:sz w:val="28"/>
          <w:szCs w:val="28"/>
          <w:highlight w:val="none"/>
          <w:lang w:val="en-US" w:eastAsia="zh-CN"/>
        </w:rPr>
      </w:pPr>
      <w:r>
        <w:rPr>
          <w:rFonts w:hint="eastAsia" w:ascii="仿宋_GB2312" w:eastAsia="仿宋_GB2312" w:hAnsiTheme="minorEastAsia"/>
          <w:color w:val="auto"/>
          <w:sz w:val="28"/>
          <w:szCs w:val="28"/>
          <w:highlight w:val="none"/>
          <w:lang w:val="en-US" w:eastAsia="zh-CN"/>
        </w:rPr>
        <w:t>2.8服务单位所提供的零配件需符合国家技术规范和质量标准，经国家有关部门检验的合格产品。</w:t>
      </w:r>
    </w:p>
    <w:p>
      <w:pPr>
        <w:keepNext w:val="0"/>
        <w:keepLines w:val="0"/>
        <w:pageBreakBefore w:val="0"/>
        <w:widowControl w:val="0"/>
        <w:kinsoku/>
        <w:wordWrap/>
        <w:overflowPunct/>
        <w:topLinePunct w:val="0"/>
        <w:bidi w:val="0"/>
        <w:adjustRightInd w:val="0"/>
        <w:snapToGrid w:val="0"/>
        <w:spacing w:line="600" w:lineRule="exact"/>
        <w:ind w:firstLine="555"/>
        <w:jc w:val="left"/>
        <w:textAlignment w:val="auto"/>
        <w:rPr>
          <w:rFonts w:hint="default" w:asciiTheme="minorEastAsia" w:hAnsiTheme="minorEastAsia" w:eastAsiaTheme="minorEastAsia" w:cstheme="minorBidi"/>
          <w:b/>
          <w:color w:val="auto"/>
          <w:kern w:val="2"/>
          <w:sz w:val="32"/>
          <w:szCs w:val="32"/>
          <w:highlight w:val="none"/>
          <w:lang w:val="en-US" w:eastAsia="zh-CN" w:bidi="ar-SA"/>
        </w:rPr>
      </w:pPr>
      <w:r>
        <w:rPr>
          <w:rFonts w:hint="eastAsia" w:ascii="仿宋_GB2312" w:eastAsia="仿宋_GB2312" w:hAnsiTheme="minorEastAsia"/>
          <w:color w:val="auto"/>
          <w:sz w:val="28"/>
          <w:szCs w:val="28"/>
          <w:highlight w:val="none"/>
          <w:lang w:val="en-US" w:eastAsia="zh-CN"/>
        </w:rPr>
        <w:t>2.9</w:t>
      </w:r>
      <w:r>
        <w:rPr>
          <w:rFonts w:hint="eastAsia" w:ascii="仿宋_GB2312" w:hAnsi="宋体" w:eastAsia="仿宋_GB2312" w:cs="Times New Roman"/>
          <w:color w:val="auto"/>
          <w:kern w:val="0"/>
          <w:sz w:val="28"/>
          <w:szCs w:val="28"/>
          <w:highlight w:val="none"/>
          <w:lang w:val="en-US" w:eastAsia="zh-CN" w:bidi="ar-SA"/>
        </w:rPr>
        <w:t>当系统中所有设备发生突发故障时，在接到甲方通知后应提供紧急抢修服务，并在24小时内安排人员到达现场处理，原则上应于24小时内恢复系统中所有设备的正常运行。</w:t>
      </w:r>
      <w:r>
        <w:rPr>
          <w:rFonts w:hint="eastAsia" w:asciiTheme="minorEastAsia" w:hAnsiTheme="minorEastAsia" w:cstheme="minorBidi"/>
          <w:b/>
          <w:color w:val="auto"/>
          <w:kern w:val="2"/>
          <w:sz w:val="32"/>
          <w:szCs w:val="32"/>
          <w:highlight w:val="none"/>
          <w:lang w:val="en-US" w:eastAsia="zh-CN" w:bidi="ar-SA"/>
        </w:rPr>
        <w:br w:type="textWrapping"/>
      </w:r>
      <w:r>
        <w:rPr>
          <w:rFonts w:hint="eastAsia" w:asciiTheme="minorEastAsia" w:hAnsiTheme="minorEastAsia" w:cstheme="minorBidi"/>
          <w:b/>
          <w:color w:val="auto"/>
          <w:kern w:val="2"/>
          <w:sz w:val="32"/>
          <w:szCs w:val="32"/>
          <w:highlight w:val="none"/>
          <w:lang w:val="en-US" w:eastAsia="zh-CN" w:bidi="ar-SA"/>
        </w:rPr>
        <w:t>三</w:t>
      </w:r>
      <w:r>
        <w:rPr>
          <w:rFonts w:hint="eastAsia" w:asciiTheme="minorEastAsia" w:hAnsiTheme="minorEastAsia" w:eastAsiaTheme="minorEastAsia" w:cstheme="minorBidi"/>
          <w:b/>
          <w:color w:val="auto"/>
          <w:kern w:val="2"/>
          <w:sz w:val="32"/>
          <w:szCs w:val="32"/>
          <w:highlight w:val="none"/>
          <w:lang w:val="en-US" w:eastAsia="zh-CN" w:bidi="ar-SA"/>
        </w:rPr>
        <w:t>、</w:t>
      </w:r>
      <w:r>
        <w:rPr>
          <w:rFonts w:hint="eastAsia" w:asciiTheme="minorEastAsia" w:hAnsiTheme="minorEastAsia" w:cstheme="minorBidi"/>
          <w:b/>
          <w:color w:val="auto"/>
          <w:kern w:val="2"/>
          <w:sz w:val="32"/>
          <w:szCs w:val="32"/>
          <w:highlight w:val="none"/>
          <w:lang w:val="en-US" w:eastAsia="zh-CN" w:bidi="ar-SA"/>
        </w:rPr>
        <w:t>项目商务要求</w:t>
      </w:r>
    </w:p>
    <w:p>
      <w:pPr>
        <w:widowControl w:val="0"/>
        <w:adjustRightInd w:val="0"/>
        <w:snapToGrid w:val="0"/>
        <w:spacing w:after="0" w:line="360" w:lineRule="auto"/>
        <w:ind w:left="0" w:leftChars="0" w:firstLine="560" w:firstLineChars="200"/>
        <w:jc w:val="both"/>
        <w:textAlignment w:val="baseline"/>
        <w:rPr>
          <w:rFonts w:hint="eastAsia" w:ascii="仿宋_GB2312" w:hAnsi="宋体" w:eastAsia="仿宋_GB2312" w:cs="Times New Roman"/>
          <w:color w:val="auto"/>
          <w:kern w:val="0"/>
          <w:sz w:val="28"/>
          <w:szCs w:val="28"/>
          <w:highlight w:val="none"/>
          <w:lang w:val="zh-CN" w:eastAsia="zh-CN" w:bidi="ar-SA"/>
        </w:rPr>
      </w:pPr>
      <w:r>
        <w:rPr>
          <w:rFonts w:hint="eastAsia" w:ascii="仿宋_GB2312" w:hAnsi="宋体" w:eastAsia="仿宋_GB2312" w:cs="Times New Roman"/>
          <w:color w:val="auto"/>
          <w:kern w:val="0"/>
          <w:sz w:val="28"/>
          <w:szCs w:val="28"/>
          <w:highlight w:val="none"/>
          <w:lang w:val="en-US" w:eastAsia="zh-CN" w:bidi="ar-SA"/>
        </w:rPr>
        <w:t>1、</w:t>
      </w:r>
      <w:r>
        <w:rPr>
          <w:rFonts w:hint="eastAsia" w:ascii="仿宋_GB2312" w:hAnsi="仿宋_GB2312" w:eastAsia="仿宋_GB2312" w:cs="仿宋_GB2312"/>
          <w:color w:val="000000" w:themeColor="text1"/>
          <w:sz w:val="28"/>
          <w:szCs w:val="28"/>
          <w:highlight w:val="none"/>
          <w14:textFill>
            <w14:solidFill>
              <w14:schemeClr w14:val="tx1"/>
            </w14:solidFill>
          </w14:textFill>
        </w:rPr>
        <w:t>合同工期为</w:t>
      </w:r>
      <w:r>
        <w:rPr>
          <w:rFonts w:hint="eastAsia" w:ascii="仿宋_GB2312" w:hAnsi="仿宋_GB2312" w:eastAsia="仿宋_GB2312" w:cs="仿宋_GB2312"/>
          <w:color w:val="000000" w:themeColor="text1"/>
          <w:sz w:val="28"/>
          <w:szCs w:val="28"/>
          <w:highlight w:val="none"/>
          <w:u w:val="none"/>
          <w14:textFill>
            <w14:solidFill>
              <w14:schemeClr w14:val="tx1"/>
            </w14:solidFill>
          </w14:textFill>
        </w:rPr>
        <w:t>：</w:t>
      </w:r>
      <w:r>
        <w:rPr>
          <w:rFonts w:hint="eastAsia" w:ascii="仿宋_GB2312" w:hAnsi="仿宋_GB2312" w:eastAsia="仿宋_GB2312" w:cs="仿宋_GB2312"/>
          <w:color w:val="000000" w:themeColor="text1"/>
          <w:sz w:val="28"/>
          <w:szCs w:val="28"/>
          <w:highlight w:val="none"/>
          <w:u w:val="none"/>
          <w:lang w:val="en-US" w:eastAsia="zh-CN"/>
          <w14:textFill>
            <w14:solidFill>
              <w14:schemeClr w14:val="tx1"/>
            </w14:solidFill>
          </w14:textFill>
        </w:rPr>
        <w:t>45</w:t>
      </w:r>
      <w:r>
        <w:rPr>
          <w:rFonts w:hint="eastAsia" w:ascii="仿宋_GB2312" w:hAnsi="仿宋_GB2312" w:eastAsia="仿宋_GB2312" w:cs="仿宋_GB2312"/>
          <w:color w:val="000000" w:themeColor="text1"/>
          <w:sz w:val="28"/>
          <w:szCs w:val="28"/>
          <w:highlight w:val="none"/>
          <w:u w:val="none"/>
          <w14:textFill>
            <w14:solidFill>
              <w14:schemeClr w14:val="tx1"/>
            </w14:solidFill>
          </w14:textFill>
        </w:rPr>
        <w:t>天</w:t>
      </w:r>
      <w:r>
        <w:rPr>
          <w:rFonts w:hint="eastAsia" w:ascii="仿宋_GB2312" w:hAnsi="仿宋_GB2312" w:eastAsia="仿宋_GB2312" w:cs="仿宋_GB2312"/>
          <w:color w:val="000000" w:themeColor="text1"/>
          <w:sz w:val="28"/>
          <w:szCs w:val="28"/>
          <w:highlight w:val="none"/>
          <w14:textFill>
            <w14:solidFill>
              <w14:schemeClr w14:val="tx1"/>
            </w14:solidFill>
          </w14:textFill>
        </w:rPr>
        <w:t>，具体日期以甲方发出的开工报告/通知为准</w:t>
      </w:r>
      <w:r>
        <w:rPr>
          <w:rFonts w:hint="eastAsia" w:ascii="仿宋_GB2312" w:hAnsi="仿宋_GB2312" w:eastAsia="仿宋_GB2312" w:cs="仿宋_GB2312"/>
          <w:color w:val="000000" w:themeColor="text1"/>
          <w:sz w:val="28"/>
          <w:szCs w:val="28"/>
          <w:highlight w:val="none"/>
          <w:u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rPr>
          <w:rFonts w:hint="eastAsia" w:ascii="仿宋_GB2312" w:hAnsi="宋体" w:eastAsia="仿宋_GB2312" w:cs="Times New Roman"/>
          <w:color w:val="auto"/>
          <w:kern w:val="0"/>
          <w:sz w:val="28"/>
          <w:szCs w:val="28"/>
          <w:highlight w:val="none"/>
          <w:lang w:val="en-US" w:eastAsia="zh-CN" w:bidi="ar-SA"/>
        </w:rPr>
      </w:pPr>
      <w:r>
        <w:rPr>
          <w:rFonts w:hint="eastAsia" w:ascii="仿宋_GB2312" w:hAnsi="宋体" w:eastAsia="仿宋_GB2312" w:cs="Times New Roman"/>
          <w:color w:val="auto"/>
          <w:kern w:val="0"/>
          <w:sz w:val="28"/>
          <w:szCs w:val="28"/>
          <w:highlight w:val="none"/>
          <w:lang w:val="en-US" w:eastAsia="zh-CN" w:bidi="ar-SA"/>
        </w:rPr>
        <w:t>2、质保期：质保期为验收合格之日起壹年。</w:t>
      </w:r>
    </w:p>
    <w:p>
      <w:pPr>
        <w:pStyle w:val="2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Chars="0" w:right="0" w:rightChars="0" w:firstLine="560" w:firstLineChars="200"/>
        <w:jc w:val="both"/>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3、</w:t>
      </w:r>
      <w:r>
        <w:rPr>
          <w:rFonts w:hint="eastAsia" w:ascii="仿宋_GB2312" w:hAnsi="仿宋_GB2312" w:eastAsia="仿宋_GB2312" w:cs="仿宋_GB2312"/>
          <w:i w:val="0"/>
          <w:caps w:val="0"/>
          <w:color w:val="auto"/>
          <w:spacing w:val="0"/>
          <w:sz w:val="28"/>
          <w:szCs w:val="28"/>
          <w:highlight w:val="none"/>
          <w:shd w:val="clear" w:color="auto" w:fill="FFFFFF"/>
        </w:rPr>
        <w:t>安全文明施工要求：</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280" w:firstLineChars="100"/>
        <w:jc w:val="both"/>
        <w:rPr>
          <w:rFonts w:hint="eastAsia" w:ascii="仿宋_GB2312" w:hAnsi="仿宋_GB2312" w:eastAsia="仿宋_GB2312" w:cs="仿宋_GB2312"/>
          <w:i w:val="0"/>
          <w:caps w:val="0"/>
          <w:color w:val="auto"/>
          <w:spacing w:val="0"/>
          <w:sz w:val="28"/>
          <w:szCs w:val="28"/>
          <w:highlight w:val="none"/>
          <w:shd w:val="clear" w:color="auto" w:fill="FFFFFF"/>
        </w:rPr>
      </w:pPr>
      <w:r>
        <w:rPr>
          <w:rFonts w:hint="eastAsia" w:ascii="仿宋_GB2312" w:hAnsi="仿宋_GB2312" w:eastAsia="仿宋_GB2312" w:cs="仿宋_GB2312"/>
          <w:i w:val="0"/>
          <w:caps w:val="0"/>
          <w:color w:val="auto"/>
          <w:spacing w:val="0"/>
          <w:sz w:val="28"/>
          <w:szCs w:val="28"/>
          <w:highlight w:val="none"/>
          <w:shd w:val="clear" w:color="auto" w:fill="FFFFFF"/>
        </w:rPr>
        <w:t>（1）在工程进行中，承包单位要注意保护场内的各种管线和设施。</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rPr>
        <w:t>若有任何损坏，须立即通知有关部门和发包人，并由损坏单位承担损失和修复费用。</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280" w:firstLineChars="100"/>
        <w:jc w:val="both"/>
        <w:rPr>
          <w:rFonts w:hint="eastAsia" w:ascii="仿宋_GB2312" w:hAnsi="仿宋_GB2312" w:eastAsia="仿宋_GB2312" w:cs="仿宋_GB2312"/>
          <w:i w:val="0"/>
          <w:caps w:val="0"/>
          <w:color w:val="auto"/>
          <w:spacing w:val="0"/>
          <w:sz w:val="28"/>
          <w:szCs w:val="28"/>
          <w:highlight w:val="none"/>
          <w:shd w:val="clear" w:color="auto" w:fill="FFFFFF"/>
        </w:rPr>
      </w:pPr>
      <w:r>
        <w:rPr>
          <w:rFonts w:hint="eastAsia" w:ascii="仿宋_GB2312" w:hAnsi="仿宋_GB2312" w:eastAsia="仿宋_GB2312" w:cs="仿宋_GB2312"/>
          <w:i w:val="0"/>
          <w:caps w:val="0"/>
          <w:color w:val="auto"/>
          <w:spacing w:val="0"/>
          <w:sz w:val="28"/>
          <w:szCs w:val="28"/>
          <w:highlight w:val="none"/>
          <w:shd w:val="clear" w:color="auto" w:fill="FFFFFF"/>
        </w:rPr>
        <w:t>(2)发生重大伤亡及其他安全事故，承包单位应按有关规定立即上报</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rPr>
        <w:t>有关部门并通知发包人，同时按政府有关部门要求处理，由事故责任方承担发生的费用。发包人、承包单位对事故责任有争议时，应按政府有关部门的认定处理。</w:t>
      </w:r>
    </w:p>
    <w:p>
      <w:pPr>
        <w:pStyle w:val="2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280" w:firstLineChars="100"/>
        <w:jc w:val="both"/>
        <w:rPr>
          <w:rFonts w:hint="eastAsia" w:ascii="仿宋_GB2312" w:hAnsi="仿宋_GB2312" w:eastAsia="仿宋_GB2312" w:cs="仿宋_GB2312"/>
          <w:i w:val="0"/>
          <w:caps w:val="0"/>
          <w:color w:val="auto"/>
          <w:spacing w:val="0"/>
          <w:sz w:val="28"/>
          <w:szCs w:val="28"/>
          <w:highlight w:val="none"/>
          <w:shd w:val="clear" w:color="auto" w:fill="FFFFFF"/>
        </w:rPr>
      </w:pP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3</w:t>
      </w: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rPr>
        <w:t>承包单位在施工期间应严格遵守《中华人民共和国安全生产法》</w:t>
      </w:r>
    </w:p>
    <w:p>
      <w:pPr>
        <w:pStyle w:val="2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rPr>
        <w:t>（国家主席70号令）、《建设工程安全生产管理条例》（中华人民共和国国务院令第393号）以及文明施工、深夜施工、环卫和城管等规定，建立规章制度和防护措施。若违反以上规定，由此造成的经济和法律责任，均由承包单位负责。</w:t>
      </w:r>
    </w:p>
    <w:p>
      <w:pPr>
        <w:pStyle w:val="2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Chars="0" w:right="0" w:rightChars="0" w:firstLine="560" w:firstLineChars="200"/>
        <w:jc w:val="both"/>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4、</w:t>
      </w:r>
      <w:r>
        <w:rPr>
          <w:rFonts w:hint="eastAsia" w:ascii="仿宋_GB2312" w:hAnsi="仿宋_GB2312" w:eastAsia="仿宋_GB2312" w:cs="仿宋_GB2312"/>
          <w:i w:val="0"/>
          <w:caps w:val="0"/>
          <w:color w:val="auto"/>
          <w:spacing w:val="0"/>
          <w:sz w:val="28"/>
          <w:szCs w:val="28"/>
          <w:highlight w:val="none"/>
          <w:shd w:val="clear" w:color="auto" w:fill="FFFFFF"/>
        </w:rPr>
        <w:t>总包及分包规定：</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0" w:firstLineChars="200"/>
        <w:jc w:val="both"/>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rPr>
        <w:t>承包单位不许转包，不许擅自分包,</w:t>
      </w:r>
      <w:r>
        <w:rPr>
          <w:rFonts w:hint="eastAsia" w:ascii="仿宋_GB2312" w:hAnsi="仿宋_GB2312" w:eastAsia="仿宋_GB2312" w:cs="仿宋_GB2312"/>
          <w:i w:val="0"/>
          <w:caps w:val="0"/>
          <w:color w:val="auto"/>
          <w:spacing w:val="0"/>
          <w:sz w:val="21"/>
          <w:szCs w:val="21"/>
          <w:highlight w:val="none"/>
          <w:shd w:val="clear" w:color="auto" w:fill="FFFFFF"/>
        </w:rPr>
        <w:t xml:space="preserve"> </w:t>
      </w:r>
      <w:r>
        <w:rPr>
          <w:rFonts w:hint="eastAsia" w:ascii="仿宋_GB2312" w:hAnsi="仿宋_GB2312" w:eastAsia="仿宋_GB2312" w:cs="仿宋_GB2312"/>
          <w:i w:val="0"/>
          <w:caps w:val="0"/>
          <w:color w:val="auto"/>
          <w:spacing w:val="0"/>
          <w:sz w:val="28"/>
          <w:szCs w:val="28"/>
          <w:highlight w:val="none"/>
          <w:shd w:val="clear" w:color="auto" w:fill="FFFFFF"/>
        </w:rPr>
        <w:t>否则，发包人有权单方面终止合同，并令其立即退场，由此而造成的经济损失由承包单位负责赔偿。</w:t>
      </w:r>
    </w:p>
    <w:p>
      <w:pPr>
        <w:pStyle w:val="2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Chars="0" w:right="0" w:rightChars="0" w:firstLine="560" w:firstLineChars="200"/>
        <w:jc w:val="both"/>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5、</w:t>
      </w:r>
      <w:r>
        <w:rPr>
          <w:rFonts w:hint="eastAsia" w:ascii="仿宋_GB2312" w:hAnsi="仿宋_GB2312" w:eastAsia="仿宋_GB2312" w:cs="仿宋_GB2312"/>
          <w:i w:val="0"/>
          <w:caps w:val="0"/>
          <w:color w:val="auto"/>
          <w:spacing w:val="0"/>
          <w:sz w:val="28"/>
          <w:szCs w:val="28"/>
          <w:highlight w:val="none"/>
          <w:shd w:val="clear" w:color="auto" w:fill="FFFFFF"/>
        </w:rPr>
        <w:t>保修期（保养期）：</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560" w:firstLineChars="200"/>
        <w:jc w:val="both"/>
        <w:rPr>
          <w:rFonts w:hint="eastAsia" w:ascii="仿宋_GB2312" w:hAnsi="仿宋_GB2312" w:eastAsia="仿宋_GB2312" w:cs="仿宋_GB2312"/>
          <w:i w:val="0"/>
          <w:caps w:val="0"/>
          <w:color w:val="auto"/>
          <w:spacing w:val="0"/>
          <w:sz w:val="28"/>
          <w:szCs w:val="28"/>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系统</w:t>
      </w:r>
      <w:r>
        <w:rPr>
          <w:rFonts w:hint="eastAsia" w:ascii="仿宋_GB2312" w:hAnsi="仿宋_GB2312" w:eastAsia="仿宋_GB2312" w:cs="仿宋_GB2312"/>
          <w:i w:val="0"/>
          <w:caps w:val="0"/>
          <w:color w:val="auto"/>
          <w:spacing w:val="0"/>
          <w:sz w:val="28"/>
          <w:szCs w:val="28"/>
          <w:highlight w:val="none"/>
          <w:shd w:val="clear" w:color="auto" w:fill="FFFFFF"/>
        </w:rPr>
        <w:t>质保期12个月，</w:t>
      </w: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质保期内承包方必须保证24小时故障到场响应</w:t>
      </w:r>
      <w:r>
        <w:rPr>
          <w:rFonts w:hint="eastAsia" w:ascii="仿宋_GB2312" w:hAnsi="仿宋_GB2312" w:eastAsia="仿宋_GB2312" w:cs="仿宋_GB2312"/>
          <w:i w:val="0"/>
          <w:caps w:val="0"/>
          <w:color w:val="auto"/>
          <w:spacing w:val="0"/>
          <w:sz w:val="28"/>
          <w:szCs w:val="28"/>
          <w:highlight w:val="none"/>
          <w:shd w:val="clear" w:color="auto" w:fill="FFFFFF"/>
        </w:rPr>
        <w:t>。</w:t>
      </w:r>
    </w:p>
    <w:p>
      <w:pPr>
        <w:pStyle w:val="2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0" w:lineRule="atLeast"/>
        <w:ind w:leftChars="0" w:right="0" w:rightChars="0" w:firstLine="560" w:firstLineChars="200"/>
        <w:jc w:val="both"/>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6、</w:t>
      </w:r>
      <w:r>
        <w:rPr>
          <w:rFonts w:hint="eastAsia" w:ascii="仿宋_GB2312" w:hAnsi="仿宋_GB2312" w:eastAsia="仿宋_GB2312" w:cs="仿宋_GB2312"/>
          <w:i w:val="0"/>
          <w:caps w:val="0"/>
          <w:color w:val="auto"/>
          <w:spacing w:val="0"/>
          <w:sz w:val="28"/>
          <w:szCs w:val="28"/>
          <w:highlight w:val="none"/>
          <w:shd w:val="clear" w:color="auto" w:fill="FFFFFF"/>
        </w:rPr>
        <w:t>发包人将自承包商履行完合同义务之日起三十个工作日内组织验收，验收要求、验收标准及方法如下：</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560" w:firstLineChars="200"/>
        <w:jc w:val="left"/>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1</w:t>
      </w: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rPr>
        <w:t>验收依据：询价文件、询价响应文件、厂家货物技术标准说明及国家有关的质量标准规定，均为验收依据。</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560" w:firstLineChars="200"/>
        <w:jc w:val="left"/>
        <w:rPr>
          <w:rFonts w:hint="eastAsia" w:ascii="仿宋_GB2312" w:hAnsi="仿宋_GB2312" w:eastAsia="仿宋_GB2312" w:cs="仿宋_GB2312"/>
          <w:i w:val="0"/>
          <w:caps w:val="0"/>
          <w:color w:val="auto"/>
          <w:spacing w:val="0"/>
          <w:sz w:val="21"/>
          <w:szCs w:val="21"/>
          <w:highlight w:val="none"/>
          <w:lang w:val="en-US" w:eastAsia="zh-CN"/>
        </w:rPr>
      </w:pP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2</w:t>
      </w: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rPr>
        <w:t>承包单位根据要求进行设备的安装、调试、测试后，由发包人或政府相关部门进行使用性能方面的验收。</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560" w:firstLineChars="200"/>
        <w:jc w:val="left"/>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3</w:t>
      </w: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rPr>
        <w:t>验收合格条件</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560" w:firstLineChars="200"/>
        <w:jc w:val="left"/>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rPr>
        <w:t>确保能够达到</w:t>
      </w: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甲方使用要求</w:t>
      </w:r>
      <w:r>
        <w:rPr>
          <w:rFonts w:hint="eastAsia" w:ascii="仿宋_GB2312" w:hAnsi="仿宋_GB2312" w:eastAsia="仿宋_GB2312" w:cs="仿宋_GB2312"/>
          <w:i w:val="0"/>
          <w:caps w:val="0"/>
          <w:color w:val="auto"/>
          <w:spacing w:val="0"/>
          <w:sz w:val="28"/>
          <w:szCs w:val="28"/>
          <w:highlight w:val="none"/>
          <w:shd w:val="clear" w:color="auto" w:fill="FFFFFF"/>
        </w:rPr>
        <w:t>的标准。</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560" w:firstLineChars="200"/>
        <w:jc w:val="left"/>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4</w:t>
      </w: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rPr>
        <w:t>发包人有权委托我国相关具有检验资质的部门、单位、机构针对维修后设备的精度、性能进行检验。其检验结果将作为验收标准的组成部分之一。</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560" w:firstLineChars="200"/>
        <w:jc w:val="left"/>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5</w:t>
      </w: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rPr>
        <w:t>验收时承包单位必须派代表参加。</w:t>
      </w:r>
    </w:p>
    <w:p>
      <w:pPr>
        <w:pStyle w:val="2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7" w:lineRule="atLeast"/>
        <w:ind w:left="0" w:right="0" w:firstLine="560" w:firstLineChars="200"/>
        <w:jc w:val="left"/>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6</w:t>
      </w:r>
      <w:r>
        <w:rPr>
          <w:rFonts w:hint="eastAsia" w:ascii="仿宋_GB2312" w:hAnsi="仿宋_GB2312" w:eastAsia="仿宋_GB2312" w:cs="仿宋_GB2312"/>
          <w:i w:val="0"/>
          <w:caps w:val="0"/>
          <w:color w:val="auto"/>
          <w:spacing w:val="0"/>
          <w:sz w:val="28"/>
          <w:szCs w:val="28"/>
          <w:highlight w:val="none"/>
          <w:shd w:val="clear" w:color="auto" w:fill="FFFFFF"/>
          <w:lang w:eastAsia="zh-CN"/>
        </w:rPr>
        <w:t>）</w:t>
      </w:r>
      <w:r>
        <w:rPr>
          <w:rFonts w:hint="eastAsia" w:ascii="仿宋_GB2312" w:hAnsi="仿宋_GB2312" w:eastAsia="仿宋_GB2312" w:cs="仿宋_GB2312"/>
          <w:i w:val="0"/>
          <w:caps w:val="0"/>
          <w:color w:val="auto"/>
          <w:spacing w:val="0"/>
          <w:sz w:val="28"/>
          <w:szCs w:val="28"/>
          <w:highlight w:val="none"/>
          <w:shd w:val="clear" w:color="auto" w:fill="FFFFFF"/>
        </w:rPr>
        <w:t>验收过程所发生的一切费用由承包单位承担。</w:t>
      </w:r>
    </w:p>
    <w:p>
      <w:pPr>
        <w:pStyle w:val="2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Chars="0" w:right="0" w:rightChars="0" w:firstLine="560" w:firstLineChars="200"/>
        <w:jc w:val="both"/>
        <w:rPr>
          <w:rFonts w:hint="eastAsia" w:ascii="仿宋_GB2312" w:hAnsi="仿宋_GB2312" w:eastAsia="仿宋_GB2312" w:cs="仿宋_GB2312"/>
          <w:i w:val="0"/>
          <w:caps w:val="0"/>
          <w:color w:val="auto"/>
          <w:spacing w:val="0"/>
          <w:sz w:val="21"/>
          <w:szCs w:val="21"/>
          <w:highlight w:val="none"/>
        </w:rPr>
      </w:pP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7、</w:t>
      </w:r>
      <w:r>
        <w:rPr>
          <w:rFonts w:hint="eastAsia" w:ascii="仿宋_GB2312" w:hAnsi="仿宋_GB2312" w:eastAsia="仿宋_GB2312" w:cs="仿宋_GB2312"/>
          <w:i w:val="0"/>
          <w:caps w:val="0"/>
          <w:color w:val="auto"/>
          <w:spacing w:val="0"/>
          <w:sz w:val="28"/>
          <w:szCs w:val="28"/>
          <w:highlight w:val="none"/>
          <w:shd w:val="clear" w:color="auto" w:fill="FFFFFF"/>
        </w:rPr>
        <w:t>付款方式：采用网银支付形式。</w:t>
      </w:r>
    </w:p>
    <w:p>
      <w:pPr>
        <w:pStyle w:val="24"/>
        <w:numPr>
          <w:ilvl w:val="0"/>
          <w:numId w:val="0"/>
        </w:numPr>
        <w:adjustRightInd w:val="0"/>
        <w:snapToGrid w:val="0"/>
        <w:spacing w:line="600" w:lineRule="exact"/>
        <w:ind w:leftChars="0" w:firstLine="560" w:firstLineChars="200"/>
        <w:jc w:val="left"/>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8、</w:t>
      </w:r>
      <w:r>
        <w:rPr>
          <w:rFonts w:hint="eastAsia" w:ascii="仿宋_GB2312" w:hAnsi="仿宋_GB2312" w:eastAsia="仿宋_GB2312" w:cs="仿宋_GB2312"/>
          <w:i w:val="0"/>
          <w:caps w:val="0"/>
          <w:color w:val="auto"/>
          <w:spacing w:val="0"/>
          <w:sz w:val="28"/>
          <w:szCs w:val="28"/>
          <w:highlight w:val="none"/>
          <w:shd w:val="clear" w:color="auto" w:fill="FFFFFF"/>
        </w:rPr>
        <w:t>承包方式：</w:t>
      </w:r>
      <w:r>
        <w:rPr>
          <w:rFonts w:hint="eastAsia" w:ascii="仿宋_GB2312" w:hAnsi="仿宋_GB2312" w:eastAsia="仿宋_GB2312" w:cs="仿宋_GB2312"/>
          <w:i w:val="0"/>
          <w:caps w:val="0"/>
          <w:color w:val="auto"/>
          <w:spacing w:val="0"/>
          <w:sz w:val="28"/>
          <w:szCs w:val="28"/>
          <w:highlight w:val="none"/>
          <w:shd w:val="clear" w:color="auto" w:fill="FFFFFF"/>
          <w:lang w:val="en-US" w:eastAsia="zh-CN"/>
        </w:rPr>
        <w:t>单价包干。</w:t>
      </w:r>
    </w:p>
    <w:p>
      <w:pPr>
        <w:rPr>
          <w:rFonts w:hint="eastAsia" w:ascii="方正小标宋_GBK" w:hAnsi="方正小标宋_GBK" w:eastAsia="方正小标宋_GBK" w:cs="方正小标宋_GBK"/>
          <w:color w:val="auto"/>
          <w:sz w:val="28"/>
          <w:szCs w:val="28"/>
          <w:highlight w:val="none"/>
        </w:rPr>
      </w:pPr>
      <w:r>
        <w:rPr>
          <w:rFonts w:hint="eastAsia" w:ascii="仿宋_GB2312" w:eastAsia="仿宋_GB2312" w:hAnsiTheme="minorEastAsia"/>
          <w:color w:val="auto"/>
          <w:sz w:val="28"/>
          <w:szCs w:val="28"/>
          <w:highlight w:val="none"/>
        </w:rPr>
        <w:br w:type="page"/>
      </w:r>
    </w:p>
    <w:p>
      <w:pPr>
        <w:keepNext w:val="0"/>
        <w:keepLines w:val="0"/>
        <w:pageBreakBefore w:val="0"/>
        <w:widowControl w:val="0"/>
        <w:pBdr>
          <w:top w:val="double" w:color="auto" w:sz="4" w:space="0"/>
          <w:bottom w:val="double" w:color="auto" w:sz="4" w:space="0"/>
        </w:pBdr>
        <w:kinsoku/>
        <w:wordWrap/>
        <w:overflowPunct/>
        <w:topLinePunct w:val="0"/>
        <w:autoSpaceDE/>
        <w:autoSpaceDN/>
        <w:bidi w:val="0"/>
        <w:adjustRightInd/>
        <w:snapToGrid/>
        <w:spacing w:line="360" w:lineRule="auto"/>
        <w:ind w:firstLine="0"/>
        <w:jc w:val="center"/>
        <w:rPr>
          <w:rFonts w:hint="default" w:ascii="方正小标宋_GBK" w:hAnsi="方正小标宋_GBK" w:eastAsia="方正小标宋_GBK" w:cs="方正小标宋_GBK"/>
          <w:color w:val="auto"/>
          <w:sz w:val="44"/>
          <w:szCs w:val="44"/>
          <w:highlight w:val="none"/>
          <w:lang w:val="en-US" w:eastAsia="zh-CN"/>
        </w:rPr>
      </w:pPr>
      <w:r>
        <w:rPr>
          <w:rFonts w:hint="eastAsia" w:ascii="方正小标宋_GBK" w:hAnsi="方正小标宋_GBK" w:eastAsia="方正小标宋_GBK" w:cs="方正小标宋_GBK"/>
          <w:color w:val="auto"/>
          <w:sz w:val="44"/>
          <w:szCs w:val="44"/>
          <w:highlight w:val="none"/>
          <w:lang w:val="en-US" w:eastAsia="zh-CN"/>
        </w:rPr>
        <w:t xml:space="preserve">第六章 </w:t>
      </w:r>
    </w:p>
    <w:p>
      <w:pPr>
        <w:keepNext w:val="0"/>
        <w:keepLines w:val="0"/>
        <w:pageBreakBefore w:val="0"/>
        <w:widowControl w:val="0"/>
        <w:kinsoku/>
        <w:wordWrap/>
        <w:overflowPunct/>
        <w:topLinePunct w:val="0"/>
        <w:autoSpaceDE/>
        <w:autoSpaceDN/>
        <w:bidi w:val="0"/>
        <w:adjustRightInd/>
        <w:snapToGrid/>
        <w:spacing w:line="360" w:lineRule="auto"/>
        <w:ind w:firstLine="0"/>
        <w:jc w:val="left"/>
        <w:rPr>
          <w:rFonts w:hint="eastAsia" w:ascii="方正小标宋_GBK" w:hAnsi="方正小标宋_GBK" w:eastAsia="方正小标宋_GBK" w:cs="方正小标宋_GBK"/>
          <w:color w:val="auto"/>
          <w:sz w:val="28"/>
          <w:szCs w:val="28"/>
          <w:highlight w:val="none"/>
          <w:lang w:val="en-US" w:eastAsia="zh-CN"/>
        </w:rPr>
      </w:pPr>
    </w:p>
    <w:p>
      <w:pPr>
        <w:pStyle w:val="3"/>
        <w:rPr>
          <w:rFonts w:hint="eastAsia" w:ascii="方正小标宋_GBK" w:hAnsi="方正小标宋_GBK" w:eastAsia="方正小标宋_GBK" w:cs="方正小标宋_GBK"/>
          <w:color w:val="auto"/>
          <w:highlight w:val="none"/>
        </w:rPr>
      </w:pPr>
      <w:bookmarkStart w:id="54" w:name="_Toc88209949"/>
      <w:bookmarkStart w:id="55" w:name="_Toc12980"/>
      <w:bookmarkStart w:id="56" w:name="_Toc22501"/>
      <w:bookmarkStart w:id="57" w:name="_Toc22797"/>
      <w:bookmarkStart w:id="58" w:name="_Toc12721"/>
      <w:bookmarkStart w:id="59" w:name="_Toc13309"/>
      <w:bookmarkStart w:id="60" w:name="_Toc19686"/>
      <w:bookmarkStart w:id="61" w:name="_Toc1375"/>
      <w:bookmarkStart w:id="62" w:name="_Toc19088"/>
      <w:bookmarkStart w:id="63" w:name="_Toc12968"/>
      <w:bookmarkStart w:id="64" w:name="_Toc8183"/>
      <w:bookmarkStart w:id="65" w:name="_Toc323"/>
      <w:bookmarkStart w:id="66" w:name="_Toc87616386"/>
      <w:r>
        <w:rPr>
          <w:rFonts w:hint="eastAsia" w:ascii="方正小标宋_GBK" w:hAnsi="方正小标宋_GBK" w:eastAsia="方正小标宋_GBK" w:cs="方正小标宋_GBK"/>
          <w:color w:val="auto"/>
          <w:highlight w:val="none"/>
        </w:rPr>
        <w:t>合同</w:t>
      </w:r>
      <w:bookmarkEnd w:id="54"/>
      <w:bookmarkEnd w:id="55"/>
      <w:bookmarkEnd w:id="56"/>
      <w:bookmarkEnd w:id="57"/>
      <w:bookmarkEnd w:id="58"/>
      <w:bookmarkEnd w:id="59"/>
      <w:bookmarkEnd w:id="60"/>
      <w:bookmarkEnd w:id="61"/>
      <w:bookmarkEnd w:id="62"/>
      <w:bookmarkEnd w:id="63"/>
      <w:bookmarkEnd w:id="64"/>
      <w:bookmarkEnd w:id="65"/>
      <w:bookmarkEnd w:id="66"/>
    </w:p>
    <w:p>
      <w:pPr>
        <w:rPr>
          <w:rFonts w:hint="eastAsia"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br w:type="page"/>
      </w:r>
    </w:p>
    <w:p>
      <w:pPr>
        <w:jc w:val="center"/>
        <w:rPr>
          <w:rFonts w:hint="eastAsia" w:ascii="方正小标宋简体" w:hAnsi="方正小标宋简体" w:eastAsia="方正小标宋简体" w:cs="方正小标宋简体"/>
          <w:sz w:val="44"/>
          <w:szCs w:val="44"/>
          <w:lang w:val="en-GB"/>
        </w:rPr>
      </w:pPr>
      <w:r>
        <w:rPr>
          <w:rFonts w:hint="eastAsia" w:ascii="方正小标宋简体" w:hAnsi="方正小标宋简体" w:eastAsia="方正小标宋简体" w:cs="方正小标宋简体"/>
          <w:sz w:val="44"/>
          <w:szCs w:val="44"/>
          <w:lang w:val="en-GB"/>
        </w:rPr>
        <w:t>广州市净水有限公司</w:t>
      </w:r>
    </w:p>
    <w:p>
      <w:pPr>
        <w:jc w:val="center"/>
        <w:rPr>
          <w:rFonts w:hint="eastAsia" w:ascii="方正小标宋简体" w:hAnsi="方正小标宋简体" w:eastAsia="方正小标宋简体" w:cs="方正小标宋简体"/>
          <w:sz w:val="44"/>
          <w:szCs w:val="44"/>
          <w:lang w:val="en-GB"/>
        </w:rPr>
      </w:pPr>
      <w:r>
        <w:rPr>
          <w:rFonts w:hint="eastAsia" w:ascii="方正小标宋简体" w:hAnsi="方正小标宋简体" w:eastAsia="方正小标宋简体" w:cs="方正小标宋简体"/>
          <w:sz w:val="44"/>
          <w:szCs w:val="44"/>
          <w:lang w:val="en-GB"/>
        </w:rPr>
        <w:t>设备维修维护/技改项目合同</w:t>
      </w:r>
    </w:p>
    <w:p>
      <w:pPr>
        <w:pStyle w:val="14"/>
        <w:spacing w:line="400" w:lineRule="exact"/>
        <w:ind w:right="84" w:rightChars="40" w:firstLine="192" w:firstLineChars="80"/>
        <w:rPr>
          <w:rFonts w:hint="eastAsia" w:hAnsi="宋体" w:eastAsia="宋体"/>
          <w:bCs/>
          <w:sz w:val="24"/>
        </w:rPr>
      </w:pPr>
    </w:p>
    <w:p>
      <w:pPr>
        <w:pStyle w:val="14"/>
        <w:spacing w:line="400" w:lineRule="exact"/>
        <w:ind w:left="3077" w:leftChars="751" w:right="84" w:rightChars="40" w:hanging="1500" w:hangingChars="500"/>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项目名称：京溪分公司生产区域车辆安全管理监控系统改造项目</w:t>
      </w:r>
    </w:p>
    <w:p>
      <w:pPr>
        <w:pStyle w:val="14"/>
        <w:ind w:right="84" w:rightChars="40"/>
        <w:rPr>
          <w:rFonts w:hint="eastAsia" w:ascii="仿宋_GB2312" w:hAnsi="仿宋_GB2312" w:eastAsia="仿宋_GB2312" w:cs="仿宋_GB2312"/>
          <w:bCs/>
          <w:sz w:val="30"/>
          <w:szCs w:val="30"/>
        </w:rPr>
      </w:pPr>
    </w:p>
    <w:p>
      <w:pPr>
        <w:pStyle w:val="14"/>
        <w:ind w:right="84" w:rightChars="40" w:firstLine="1500" w:firstLineChars="500"/>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合同编号：穗净水合[    ]    号</w:t>
      </w:r>
    </w:p>
    <w:p>
      <w:pPr>
        <w:pStyle w:val="14"/>
        <w:spacing w:line="400" w:lineRule="exact"/>
        <w:ind w:right="84" w:rightChars="40" w:firstLine="1500" w:firstLineChars="500"/>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项目编号：14062025X10011</w:t>
      </w:r>
    </w:p>
    <w:p>
      <w:pPr>
        <w:pStyle w:val="14"/>
        <w:ind w:right="84" w:rightChars="40" w:firstLine="1569"/>
        <w:rPr>
          <w:rFonts w:hint="eastAsia" w:ascii="仿宋_GB2312" w:hAnsi="仿宋_GB2312" w:eastAsia="仿宋_GB2312" w:cs="仿宋_GB2312"/>
          <w:bCs/>
          <w:sz w:val="30"/>
          <w:szCs w:val="30"/>
        </w:rPr>
      </w:pPr>
    </w:p>
    <w:p>
      <w:pPr>
        <w:pStyle w:val="14"/>
        <w:ind w:right="84" w:rightChars="40"/>
        <w:rPr>
          <w:rFonts w:hint="eastAsia" w:ascii="仿宋_GB2312" w:hAnsi="仿宋_GB2312" w:eastAsia="仿宋_GB2312" w:cs="仿宋_GB2312"/>
          <w:bCs/>
          <w:sz w:val="30"/>
          <w:szCs w:val="30"/>
        </w:rPr>
      </w:pPr>
    </w:p>
    <w:p>
      <w:pPr>
        <w:pStyle w:val="14"/>
        <w:ind w:right="84" w:rightChars="40" w:firstLine="1569"/>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甲方：广州市净水有限公司</w:t>
      </w:r>
    </w:p>
    <w:p>
      <w:pPr>
        <w:pStyle w:val="14"/>
        <w:ind w:right="84" w:rightChars="40"/>
        <w:rPr>
          <w:rFonts w:hint="eastAsia" w:ascii="仿宋_GB2312" w:hAnsi="仿宋_GB2312" w:eastAsia="仿宋_GB2312" w:cs="仿宋_GB2312"/>
          <w:bCs/>
          <w:sz w:val="30"/>
          <w:szCs w:val="30"/>
        </w:rPr>
      </w:pPr>
    </w:p>
    <w:p>
      <w:pPr>
        <w:pStyle w:val="14"/>
        <w:ind w:right="84" w:rightChars="40" w:firstLine="1569"/>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乙方：</w:t>
      </w:r>
    </w:p>
    <w:p>
      <w:pPr>
        <w:pStyle w:val="14"/>
        <w:ind w:right="84" w:rightChars="40" w:firstLine="1563" w:firstLineChars="521"/>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 xml:space="preserve"> </w:t>
      </w:r>
    </w:p>
    <w:p>
      <w:pPr>
        <w:pStyle w:val="14"/>
        <w:spacing w:line="400" w:lineRule="exact"/>
        <w:ind w:right="84" w:rightChars="40"/>
        <w:rPr>
          <w:rFonts w:hint="eastAsia" w:ascii="仿宋_GB2312" w:hAnsi="仿宋_GB2312" w:eastAsia="仿宋_GB2312" w:cs="仿宋_GB2312"/>
          <w:bCs/>
          <w:sz w:val="30"/>
          <w:szCs w:val="30"/>
        </w:rPr>
      </w:pPr>
    </w:p>
    <w:p>
      <w:pPr>
        <w:ind w:firstLine="1500" w:firstLineChars="500"/>
        <w:rPr>
          <w:rFonts w:hint="eastAsia" w:ascii="仿宋_GB2312" w:hAnsi="仿宋_GB2312" w:eastAsia="仿宋_GB2312" w:cs="仿宋_GB2312"/>
          <w:bCs/>
          <w:sz w:val="30"/>
          <w:szCs w:val="30"/>
        </w:rPr>
      </w:pPr>
      <w:r>
        <w:rPr>
          <w:rFonts w:hint="eastAsia" w:ascii="仿宋_GB2312" w:hAnsi="仿宋_GB2312" w:eastAsia="仿宋_GB2312" w:cs="仿宋_GB2312"/>
          <w:bCs/>
          <w:sz w:val="30"/>
          <w:szCs w:val="30"/>
        </w:rPr>
        <w:t>签订日期：       年   月   日</w:t>
      </w:r>
    </w:p>
    <w:p>
      <w:pPr>
        <w:ind w:firstLine="1500" w:firstLineChars="500"/>
        <w:rPr>
          <w:rFonts w:hint="eastAsia" w:ascii="宋体" w:hAnsi="宋体" w:eastAsia="宋体" w:cs="宋体"/>
          <w:b/>
          <w:sz w:val="30"/>
          <w:szCs w:val="30"/>
          <w:lang w:val="zh-CN"/>
        </w:rPr>
      </w:pPr>
      <w:r>
        <w:rPr>
          <w:rFonts w:hint="eastAsia" w:ascii="仿宋_GB2312" w:hAnsi="仿宋_GB2312" w:eastAsia="仿宋_GB2312" w:cs="仿宋_GB2312"/>
          <w:bCs/>
          <w:sz w:val="30"/>
          <w:szCs w:val="30"/>
        </w:rPr>
        <w:t>签订地点：广州市</w:t>
      </w:r>
    </w:p>
    <w:p>
      <w:pPr>
        <w:rPr>
          <w:rFonts w:hint="eastAsia" w:ascii="宋体" w:hAnsi="宋体" w:eastAsia="宋体"/>
          <w:b/>
          <w:sz w:val="44"/>
          <w:szCs w:val="44"/>
        </w:rPr>
        <w:sectPr>
          <w:headerReference r:id="rId7" w:type="default"/>
          <w:footerReference r:id="rId8" w:type="default"/>
          <w:footerReference r:id="rId9" w:type="even"/>
          <w:pgSz w:w="11906" w:h="16838"/>
          <w:pgMar w:top="1644" w:right="1701" w:bottom="1644" w:left="1701" w:header="851" w:footer="992" w:gutter="0"/>
          <w:pgNumType w:fmt="numberInDash"/>
          <w:cols w:space="708" w:num="1"/>
          <w:docGrid w:type="lines" w:linePitch="312" w:charSpace="0"/>
        </w:sectPr>
      </w:pP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根据《中华人民共和国民法典》及其他有关法律、行政法规，</w:t>
      </w:r>
      <w:r>
        <w:rPr>
          <w:rFonts w:hint="eastAsia" w:ascii="仿宋_GB2312" w:hAnsi="仿宋_GB2312" w:eastAsia="仿宋_GB2312" w:cs="仿宋_GB2312"/>
          <w:color w:val="000000" w:themeColor="text1"/>
          <w:sz w:val="28"/>
          <w:szCs w:val="28"/>
          <w:u w:val="single"/>
          <w14:textFill>
            <w14:solidFill>
              <w14:schemeClr w14:val="tx1"/>
            </w14:solidFill>
          </w14:textFill>
        </w:rPr>
        <w:t>广州市净水有限公司</w:t>
      </w:r>
      <w:r>
        <w:rPr>
          <w:rFonts w:hint="eastAsia" w:ascii="仿宋_GB2312" w:hAnsi="仿宋_GB2312" w:eastAsia="仿宋_GB2312" w:cs="仿宋_GB2312"/>
          <w:color w:val="000000" w:themeColor="text1"/>
          <w:sz w:val="28"/>
          <w:szCs w:val="28"/>
          <w14:textFill>
            <w14:solidFill>
              <w14:schemeClr w14:val="tx1"/>
            </w14:solidFill>
          </w14:textFill>
        </w:rPr>
        <w:t xml:space="preserve"> （以下简称“甲方”）与 </w:t>
      </w:r>
      <w:r>
        <w:rPr>
          <w:rFonts w:hint="eastAsia" w:ascii="仿宋_GB2312" w:hAnsi="仿宋_GB2312" w:eastAsia="仿宋_GB2312" w:cs="仿宋_GB2312"/>
          <w:color w:val="000000" w:themeColor="text1"/>
          <w:sz w:val="28"/>
          <w:szCs w:val="28"/>
          <w:u w:val="single"/>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（以下简称“乙方”）就</w:t>
      </w:r>
      <w:r>
        <w:rPr>
          <w:rFonts w:hint="eastAsia" w:ascii="仿宋_GB2312" w:hAnsi="仿宋_GB2312" w:eastAsia="仿宋_GB2312" w:cs="仿宋_GB2312"/>
          <w:color w:val="000000" w:themeColor="text1"/>
          <w:sz w:val="28"/>
          <w:szCs w:val="28"/>
          <w:u w:val="single"/>
          <w14:textFill>
            <w14:solidFill>
              <w14:schemeClr w14:val="tx1"/>
            </w14:solidFill>
          </w14:textFill>
        </w:rPr>
        <w:t>京溪分公司生产区域车辆安全管理监控系统改造项目</w:t>
      </w:r>
      <w:r>
        <w:rPr>
          <w:rFonts w:hint="eastAsia" w:ascii="仿宋_GB2312" w:hAnsi="仿宋_GB2312" w:eastAsia="仿宋_GB2312" w:cs="仿宋_GB2312"/>
          <w:color w:val="000000" w:themeColor="text1"/>
          <w:sz w:val="28"/>
          <w:szCs w:val="28"/>
          <w14:textFill>
            <w14:solidFill>
              <w14:schemeClr w14:val="tx1"/>
            </w14:solidFill>
          </w14:textFill>
        </w:rPr>
        <w:t>承接工作事宜，遵循平等、自愿、公平和诚实信用的原则，双方协商一致，订立本合同。</w:t>
      </w:r>
    </w:p>
    <w:p>
      <w:pPr>
        <w:spacing w:line="560" w:lineRule="exact"/>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第一条 组成合同的文件及优先顺序</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下列文件（如有）均为本合同的组成部分，可视为能相互说明和补充的，如果合同文件存在歧义或相矛盾的地方，则根据以下次序判断：</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r>
        <w:rPr>
          <w:rFonts w:hint="eastAsia" w:ascii="仿宋_GB2312" w:hAnsi="仿宋_GB2312" w:eastAsia="仿宋_GB2312" w:cs="仿宋_GB2312"/>
          <w:color w:val="000000" w:themeColor="text1"/>
          <w:sz w:val="28"/>
          <w:szCs w:val="28"/>
          <w14:textFill>
            <w14:solidFill>
              <w14:schemeClr w14:val="tx1"/>
            </w14:solidFill>
          </w14:textFill>
        </w:rPr>
        <w:t>在本合同实施过程双方签署的补充与修正文件</w:t>
      </w:r>
      <w:r>
        <w:rPr>
          <w:rFonts w:hint="eastAsia" w:ascii="仿宋_GB2312" w:hAnsi="仿宋_GB2312" w:eastAsia="仿宋_GB2312" w:cs="仿宋_GB2312"/>
          <w:bCs/>
          <w:color w:val="000000" w:themeColor="text1"/>
          <w:sz w:val="28"/>
          <w:szCs w:val="28"/>
          <w14:textFill>
            <w14:solidFill>
              <w14:schemeClr w14:val="tx1"/>
            </w14:solidFill>
          </w14:textFill>
        </w:rPr>
        <w:t>；</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（2）本合同书；</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（3）中标通知书/发包通知书/成交通知书/委托函；</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（4）招标文件/询价文件；</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（5）投标文件/响应文件；</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（6）标准、规范及有关技术性文件；</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（7）图纸；</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（8）工程量清单/</w:t>
      </w:r>
      <w:r>
        <w:rPr>
          <w:rFonts w:hint="eastAsia" w:ascii="仿宋_GB2312" w:hAnsi="仿宋_GB2312" w:eastAsia="仿宋_GB2312" w:cs="仿宋_GB2312"/>
          <w:color w:val="000000" w:themeColor="text1"/>
          <w:sz w:val="28"/>
          <w:szCs w:val="28"/>
          <w14:textFill>
            <w14:solidFill>
              <w14:schemeClr w14:val="tx1"/>
            </w14:solidFill>
          </w14:textFill>
        </w:rPr>
        <w:t>工程量清单报价；</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（9）本合同其他附件；</w:t>
      </w:r>
    </w:p>
    <w:p>
      <w:pPr>
        <w:spacing w:line="560" w:lineRule="exact"/>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第二条 项目概况、项目承包范围</w:t>
      </w:r>
    </w:p>
    <w:p>
      <w:pPr>
        <w:spacing w:line="560" w:lineRule="exact"/>
        <w:ind w:firstLine="560" w:firstLineChars="200"/>
        <w:rPr>
          <w:rFonts w:hint="eastAsia"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2.1项目名称：</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京溪分公司生产区域车辆安全管理监控系统改造项目  。</w:t>
      </w:r>
    </w:p>
    <w:p>
      <w:pPr>
        <w:spacing w:line="560" w:lineRule="exact"/>
        <w:ind w:firstLine="560" w:firstLineChars="200"/>
        <w:rPr>
          <w:rFonts w:hint="eastAsia"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2.2项目地点：</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广州市净水有限公司京溪分公司  。</w:t>
      </w:r>
    </w:p>
    <w:p>
      <w:pPr>
        <w:spacing w:line="560" w:lineRule="exact"/>
        <w:ind w:firstLine="560" w:firstLineChars="200"/>
        <w:rPr>
          <w:rFonts w:hint="eastAsia" w:ascii="仿宋_GB2312" w:hAnsi="仿宋_GB2312" w:eastAsia="仿宋_GB2312" w:cs="仿宋_GB2312"/>
          <w:color w:val="000000" w:themeColor="text1"/>
          <w:spacing w:val="8"/>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2.3项目内容：</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对</w:t>
      </w:r>
      <w:r>
        <w:rPr>
          <w:rFonts w:hint="eastAsia" w:ascii="仿宋_GB2312" w:hAnsi="仿宋_GB2312" w:eastAsia="仿宋_GB2312" w:cs="仿宋_GB2312"/>
          <w:color w:val="000000" w:themeColor="text1"/>
          <w:sz w:val="28"/>
          <w:szCs w:val="28"/>
          <w:u w:val="single"/>
          <w:lang w:val="en-US" w:eastAsia="zh-CN"/>
          <w14:textFill>
            <w14:solidFill>
              <w14:schemeClr w14:val="tx1"/>
            </w14:solidFill>
          </w14:textFill>
        </w:rPr>
        <w:t>京溪</w:t>
      </w:r>
      <w:r>
        <w:rPr>
          <w:rFonts w:hint="eastAsia" w:ascii="仿宋_GB2312" w:hAnsi="仿宋_GB2312" w:eastAsia="仿宋_GB2312" w:cs="仿宋_GB2312"/>
          <w:color w:val="000000" w:themeColor="text1"/>
          <w:sz w:val="28"/>
          <w:szCs w:val="28"/>
          <w:u w:val="single"/>
          <w14:textFill>
            <w14:solidFill>
              <w14:schemeClr w14:val="tx1"/>
            </w14:solidFill>
          </w14:textFill>
        </w:rPr>
        <w:t>分公司</w:t>
      </w:r>
      <w:r>
        <w:rPr>
          <w:rFonts w:hint="eastAsia" w:ascii="仿宋_GB2312" w:hAnsi="仿宋_GB2312" w:eastAsia="仿宋_GB2312" w:cs="仿宋_GB2312"/>
          <w:color w:val="000000" w:themeColor="text1"/>
          <w:sz w:val="28"/>
          <w:szCs w:val="28"/>
          <w:u w:val="single"/>
          <w:lang w:val="en-US" w:eastAsia="zh-CN"/>
          <w14:textFill>
            <w14:solidFill>
              <w14:schemeClr w14:val="tx1"/>
            </w14:solidFill>
          </w14:textFill>
        </w:rPr>
        <w:t>生产区域</w:t>
      </w:r>
      <w:r>
        <w:rPr>
          <w:rFonts w:hint="eastAsia" w:ascii="仿宋_GB2312" w:hAnsi="仿宋_GB2312" w:eastAsia="仿宋_GB2312" w:cs="仿宋_GB2312"/>
          <w:color w:val="000000" w:themeColor="text1"/>
          <w:sz w:val="28"/>
          <w:szCs w:val="28"/>
          <w:u w:val="single"/>
          <w14:textFill>
            <w14:solidFill>
              <w14:schemeClr w14:val="tx1"/>
            </w14:solidFill>
          </w14:textFill>
        </w:rPr>
        <w:t>车辆入场、地下生产区域、地面卸药区三个区域车辆安全管理</w:t>
      </w:r>
      <w:r>
        <w:rPr>
          <w:rFonts w:hint="eastAsia" w:ascii="仿宋_GB2312" w:hAnsi="仿宋_GB2312" w:eastAsia="仿宋_GB2312" w:cs="仿宋_GB2312"/>
          <w:color w:val="000000" w:themeColor="text1"/>
          <w:sz w:val="28"/>
          <w:szCs w:val="28"/>
          <w:u w:val="single"/>
          <w:lang w:val="en-US" w:eastAsia="zh-CN"/>
          <w14:textFill>
            <w14:solidFill>
              <w14:schemeClr w14:val="tx1"/>
            </w14:solidFill>
          </w14:textFill>
        </w:rPr>
        <w:t>监控系统</w:t>
      </w:r>
      <w:r>
        <w:rPr>
          <w:rFonts w:hint="eastAsia" w:ascii="仿宋_GB2312" w:hAnsi="仿宋_GB2312" w:eastAsia="仿宋_GB2312" w:cs="仿宋_GB2312"/>
          <w:color w:val="000000" w:themeColor="text1"/>
          <w:sz w:val="28"/>
          <w:szCs w:val="28"/>
          <w:u w:val="single"/>
          <w14:textFill>
            <w14:solidFill>
              <w14:schemeClr w14:val="tx1"/>
            </w14:solidFill>
          </w14:textFill>
        </w:rPr>
        <w:t>进行改造</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w:t>
      </w:r>
      <w:r>
        <w:rPr>
          <w:rFonts w:hint="eastAsia" w:ascii="仿宋_GB2312" w:hAnsi="仿宋_GB2312" w:eastAsia="仿宋_GB2312" w:cs="仿宋_GB2312"/>
          <w:color w:val="000000" w:themeColor="text1"/>
          <w:sz w:val="28"/>
          <w:szCs w:val="28"/>
          <w:u w:val="single"/>
          <w:lang w:val="en-US" w:eastAsia="zh-CN"/>
          <w14:textFill>
            <w14:solidFill>
              <w14:schemeClr w14:val="tx1"/>
            </w14:solidFill>
          </w14:textFill>
        </w:rPr>
        <w:t>实现车型和车辆</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识别、测速、</w:t>
      </w:r>
      <w:r>
        <w:rPr>
          <w:rFonts w:hint="eastAsia" w:ascii="仿宋_GB2312" w:hAnsi="仿宋_GB2312" w:eastAsia="仿宋_GB2312" w:cs="仿宋_GB2312"/>
          <w:color w:val="000000" w:themeColor="text1"/>
          <w:sz w:val="28"/>
          <w:szCs w:val="28"/>
          <w:u w:val="single"/>
          <w:lang w:val="en-US" w:eastAsia="zh-CN"/>
          <w14:textFill>
            <w14:solidFill>
              <w14:schemeClr w14:val="tx1"/>
            </w14:solidFill>
          </w14:textFill>
        </w:rPr>
        <w:t>智能预警、监控朔源等功能</w:t>
      </w:r>
      <w:r>
        <w:rPr>
          <w:rFonts w:hint="eastAsia" w:ascii="仿宋_GB2312" w:hAnsi="仿宋_GB2312" w:eastAsia="仿宋_GB2312" w:cs="仿宋_GB2312"/>
          <w:color w:val="000000" w:themeColor="text1"/>
          <w:sz w:val="28"/>
          <w:szCs w:val="28"/>
          <w:u w:val="single"/>
          <w14:textFill>
            <w14:solidFill>
              <w14:schemeClr w14:val="tx1"/>
            </w14:solidFill>
          </w14:textFill>
        </w:rPr>
        <w:t>。</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2.4项目承包范围：包括提供所有需要的材料、机械、人工、设施、完成合同约定的工作和服务。按照甲方审核同意的方案、图纸所包括的实施范围和内容进行施工并在质量保修期内承担项目质量保修责任。</w:t>
      </w:r>
    </w:p>
    <w:p>
      <w:pPr>
        <w:spacing w:line="560" w:lineRule="exact"/>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第三条 项目承包方式</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☑包工、包料、包工期、包质量、包安全、包文明施工。综合单价包干、项目措施费按实结算。（单价包干要求附</w:t>
      </w:r>
      <w:r>
        <w:rPr>
          <w:rFonts w:hint="eastAsia" w:ascii="仿宋_GB2312" w:hAnsi="仿宋_GB2312" w:eastAsia="仿宋_GB2312" w:cs="仿宋_GB2312"/>
          <w:bCs/>
          <w:color w:val="000000" w:themeColor="text1"/>
          <w:sz w:val="28"/>
          <w:szCs w:val="28"/>
          <w14:textFill>
            <w14:solidFill>
              <w14:schemeClr w14:val="tx1"/>
            </w14:solidFill>
          </w14:textFill>
        </w:rPr>
        <w:t>工程量清单/</w:t>
      </w:r>
      <w:r>
        <w:rPr>
          <w:rFonts w:hint="eastAsia" w:ascii="仿宋_GB2312" w:hAnsi="仿宋_GB2312" w:eastAsia="仿宋_GB2312" w:cs="仿宋_GB2312"/>
          <w:color w:val="000000" w:themeColor="text1"/>
          <w:sz w:val="28"/>
          <w:szCs w:val="28"/>
          <w14:textFill>
            <w14:solidFill>
              <w14:schemeClr w14:val="tx1"/>
            </w14:solidFill>
          </w14:textFill>
        </w:rPr>
        <w:t>工程量清单报价）</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□包工、包料、包质量、包工期、包安全、包文明施工、包设计、包调试、包验收的施工图纸，以总价包干形式。</w:t>
      </w:r>
    </w:p>
    <w:p>
      <w:pPr>
        <w:spacing w:line="560" w:lineRule="exact"/>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第四条 合同价款</w:t>
      </w:r>
    </w:p>
    <w:p>
      <w:pPr>
        <w:spacing w:line="560" w:lineRule="exact"/>
        <w:ind w:firstLine="560" w:firstLineChars="200"/>
        <w:rPr>
          <w:rFonts w:hint="eastAsia" w:ascii="仿宋_GB2312" w:hAnsi="仿宋_GB2312" w:eastAsia="仿宋_GB2312" w:cs="仿宋_GB2312"/>
          <w:bCs/>
          <w:color w:val="000000" w:themeColor="text1"/>
          <w:sz w:val="28"/>
          <w:szCs w:val="28"/>
          <w:bdr w:val="single" w:color="auto" w:sz="4" w:space="0"/>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4.1合同价款按以下</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bCs/>
          <w:color w:val="000000" w:themeColor="text1"/>
          <w:sz w:val="28"/>
          <w:szCs w:val="28"/>
          <w:u w:val="single"/>
          <w14:textFill>
            <w14:solidFill>
              <w14:schemeClr w14:val="tx1"/>
            </w14:solidFill>
          </w14:textFill>
        </w:rPr>
        <w:t>（1）</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执行。</w:t>
      </w:r>
    </w:p>
    <w:p>
      <w:pPr>
        <w:numPr>
          <w:ilvl w:val="255"/>
          <w:numId w:val="0"/>
        </w:num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w:t>
      </w:r>
      <w:r>
        <w:rPr>
          <w:rFonts w:hint="eastAsia" w:ascii="仿宋_GB2312" w:hAnsi="仿宋_GB2312" w:eastAsia="仿宋_GB2312" w:cs="仿宋_GB2312"/>
          <w:color w:val="000000" w:themeColor="text1"/>
          <w:sz w:val="28"/>
          <w:szCs w:val="28"/>
          <w14:textFill>
            <w14:solidFill>
              <w14:schemeClr w14:val="tx1"/>
            </w14:solidFill>
          </w14:textFill>
        </w:rPr>
        <w:t>合同暂定总价为：</w:t>
      </w:r>
      <w:r>
        <w:rPr>
          <w:rFonts w:hint="eastAsia" w:ascii="仿宋_GB2312" w:hAnsi="仿宋_GB2312" w:eastAsia="仿宋_GB2312" w:cs="仿宋_GB2312"/>
          <w:b/>
          <w:color w:val="000000" w:themeColor="text1"/>
          <w:sz w:val="28"/>
          <w:szCs w:val="28"/>
          <w:u w:val="single"/>
          <w14:textFill>
            <w14:solidFill>
              <w14:schemeClr w14:val="tx1"/>
            </w14:solidFill>
          </w14:textFill>
        </w:rPr>
        <w:t>人民币…元</w:t>
      </w:r>
      <w:r>
        <w:rPr>
          <w:rFonts w:hint="eastAsia" w:ascii="仿宋_GB2312" w:hAnsi="仿宋_GB2312" w:eastAsia="仿宋_GB2312" w:cs="仿宋_GB2312"/>
          <w:color w:val="000000" w:themeColor="text1"/>
          <w:sz w:val="28"/>
          <w:szCs w:val="28"/>
          <w14:textFill>
            <w14:solidFill>
              <w14:schemeClr w14:val="tx1"/>
            </w14:solidFill>
          </w14:textFill>
        </w:rPr>
        <w:t>（大写:）。经甲方或甲方委托有资质第三方机构审核后，审核价作为合同结算价。若合同结算价超合同暂定总价，双方另行签订补充协议。</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合同单价在合同有效期内为不变价。乙方已经充分考虑本合同履行期间的市场风险和国家政策性调整风险系数并已计入报价，因此合同单价在合同有效期内不因任何因素而作调整。</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（2）</w:t>
      </w:r>
      <w:r>
        <w:rPr>
          <w:rFonts w:hint="eastAsia" w:ascii="仿宋_GB2312" w:hAnsi="仿宋_GB2312" w:eastAsia="仿宋_GB2312" w:cs="仿宋_GB2312"/>
          <w:color w:val="000000" w:themeColor="text1"/>
          <w:sz w:val="28"/>
          <w:szCs w:val="28"/>
          <w14:textFill>
            <w14:solidFill>
              <w14:schemeClr w14:val="tx1"/>
            </w14:solidFill>
          </w14:textFill>
        </w:rPr>
        <w:t>合同以总价包干形式，合同暂定总价为：</w:t>
      </w:r>
      <w:r>
        <w:rPr>
          <w:rFonts w:hint="eastAsia" w:ascii="仿宋_GB2312" w:hAnsi="仿宋_GB2312" w:eastAsia="仿宋_GB2312" w:cs="仿宋_GB2312"/>
          <w:b/>
          <w:color w:val="000000" w:themeColor="text1"/>
          <w:sz w:val="28"/>
          <w:szCs w:val="28"/>
          <w:u w:val="single"/>
          <w14:textFill>
            <w14:solidFill>
              <w14:schemeClr w14:val="tx1"/>
            </w14:solidFill>
          </w14:textFill>
        </w:rPr>
        <w:t>人民币…元</w:t>
      </w:r>
      <w:r>
        <w:rPr>
          <w:rFonts w:hint="eastAsia" w:ascii="仿宋_GB2312" w:hAnsi="仿宋_GB2312" w:eastAsia="仿宋_GB2312" w:cs="仿宋_GB2312"/>
          <w:color w:val="000000" w:themeColor="text1"/>
          <w:sz w:val="28"/>
          <w:szCs w:val="28"/>
          <w14:textFill>
            <w14:solidFill>
              <w14:schemeClr w14:val="tx1"/>
            </w14:solidFill>
          </w14:textFill>
        </w:rPr>
        <w:t>（大写:…）。经甲方或甲方委托有资质第三方机构审核后，若结算审核价比合同暂定总价低，则以结算审核价作为合同结算价，否则以合同暂定总价为合同结算价。</w:t>
      </w:r>
    </w:p>
    <w:p>
      <w:pPr>
        <w:tabs>
          <w:tab w:val="left" w:pos="851"/>
        </w:tabs>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lang w:val="zh-CN"/>
          <w14:textFill>
            <w14:solidFill>
              <w14:schemeClr w14:val="tx1"/>
            </w14:solidFill>
          </w14:textFill>
        </w:rPr>
        <w:t>4.2</w:t>
      </w:r>
      <w:r>
        <w:rPr>
          <w:rFonts w:hint="eastAsia" w:ascii="仿宋_GB2312" w:hAnsi="仿宋_GB2312" w:eastAsia="仿宋_GB2312" w:cs="仿宋_GB2312"/>
          <w:color w:val="000000" w:themeColor="text1"/>
          <w:kern w:val="0"/>
          <w:sz w:val="28"/>
          <w:szCs w:val="28"/>
          <w14:textFill>
            <w14:solidFill>
              <w14:schemeClr w14:val="tx1"/>
            </w14:solidFill>
          </w14:textFill>
        </w:rPr>
        <w:t>本合同约定的价格为含税价价格</w:t>
      </w:r>
      <w:r>
        <w:rPr>
          <w:rFonts w:hint="eastAsia" w:ascii="仿宋_GB2312" w:hAnsi="仿宋_GB2312" w:eastAsia="仿宋_GB2312" w:cs="仿宋_GB2312"/>
          <w:color w:val="000000" w:themeColor="text1"/>
          <w:sz w:val="28"/>
          <w:szCs w:val="28"/>
          <w14:textFill>
            <w14:solidFill>
              <w14:schemeClr w14:val="tx1"/>
            </w14:solidFill>
          </w14:textFill>
        </w:rPr>
        <w:t>（税率</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  %</w:t>
      </w:r>
      <w:r>
        <w:rPr>
          <w:rFonts w:hint="eastAsia" w:ascii="仿宋_GB2312" w:hAnsi="仿宋_GB2312" w:eastAsia="仿宋_GB2312" w:cs="仿宋_GB2312"/>
          <w:color w:val="000000" w:themeColor="text1"/>
          <w:sz w:val="28"/>
          <w:szCs w:val="28"/>
          <w14:textFill>
            <w14:solidFill>
              <w14:schemeClr w14:val="tx1"/>
            </w14:solidFill>
          </w14:textFill>
        </w:rPr>
        <w:t>），合同履行期间国家税率调整或乙方开票的实际税率与前述税率不一致的，不含税价不变，价税合计按实际税率相应调整，以开具发票时间为准。</w:t>
      </w:r>
    </w:p>
    <w:p>
      <w:pPr>
        <w:tabs>
          <w:tab w:val="left" w:pos="0"/>
        </w:tabs>
        <w:spacing w:line="560" w:lineRule="exact"/>
        <w:ind w:firstLine="560" w:firstLineChars="200"/>
        <w:jc w:val="left"/>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4.3因非乙方原因引起工程量报价清单中工程量发生增减，且单个子目工程量变化幅度在25%以内（含）时，按工程量报价清单中列明的子目单价结算。否则，按新增单价执行：单个子目工程量增加幅度在25%以上时，单价按就低原则执行（原合同单价与重新组价之间比较）；单个子目工程量减少幅度在25%以上时，单价按就高原则执行（原合同单价与重新组价之间比较）。</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4.4合同中没有适用于变更工程项目的单价的，按新增单价执行。</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新增单价计价原则：</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执行《建设工程工程量清单计价规范》（GB50500-2013）及相应的各清单专业的国标工程量计算规范，套用《广东省建设工程计价依据（2018）》、《广东省房屋建筑和市政修缮工程综合定额（2012）》或其他由建设、造价主管部门发布的工程承包合同签订时广州地区适用的定额进行组价。</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2.项目计价材料、设备价格的控制：按以下顺序作为降序优先级依次采用工程开工报告中开工日期当月的下列价格：</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（1）《广州地区建设工程常用材料税前综合价格》（下称综合价格）。</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（2）《广州地区建设工程材料（设备）厂商价格信息》（下称厂商价格）下浮10-20%。</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（3）综合价格、厂商价格中缺项的，采用由北京瑞恒达建筑咨询有限公司提供服务的“慧讯网”中查到的相应材料、设备价格的工程价。</w:t>
      </w:r>
    </w:p>
    <w:p>
      <w:pPr>
        <w:pStyle w:val="2"/>
        <w:autoSpaceDE/>
        <w:autoSpaceDN/>
        <w:adjustRightInd/>
        <w:spacing w:line="560" w:lineRule="exact"/>
        <w:ind w:firstLine="560" w:firstLineChars="200"/>
        <w:rPr>
          <w:rFonts w:hint="eastAsia" w:ascii="仿宋_GB2312" w:hAnsi="仿宋_GB2312" w:cs="仿宋_GB2312"/>
          <w:color w:val="000000" w:themeColor="text1"/>
          <w:sz w:val="28"/>
          <w:szCs w:val="28"/>
          <w14:textFill>
            <w14:solidFill>
              <w14:schemeClr w14:val="tx1"/>
            </w14:solidFill>
          </w14:textFill>
        </w:rPr>
      </w:pPr>
      <w:r>
        <w:rPr>
          <w:rFonts w:hint="eastAsia" w:ascii="仿宋_GB2312" w:hAnsi="仿宋_GB2312" w:cs="仿宋_GB2312"/>
          <w:color w:val="000000" w:themeColor="text1"/>
          <w:sz w:val="28"/>
          <w:szCs w:val="28"/>
          <w14:textFill>
            <w14:solidFill>
              <w14:schemeClr w14:val="tx1"/>
            </w14:solidFill>
          </w14:textFill>
        </w:rPr>
        <w:t>（4）通过市场询价双方协商确定。</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3.3.按1、2组价后按</w:t>
      </w:r>
      <w:r>
        <w:rPr>
          <w:rFonts w:hint="eastAsia" w:ascii="仿宋_GB2312" w:hAnsi="仿宋_GB2312" w:eastAsia="仿宋_GB2312" w:cs="仿宋_GB2312"/>
          <w:color w:val="000000" w:themeColor="text1"/>
          <w:sz w:val="28"/>
          <w:szCs w:val="28"/>
          <w:u w:val="single"/>
          <w:lang w:val="en-US" w:eastAsia="zh-CN"/>
          <w14:textFill>
            <w14:solidFill>
              <w14:schemeClr w14:val="tx1"/>
            </w14:solidFill>
          </w14:textFill>
        </w:rPr>
        <w:t>5%/</w:t>
      </w:r>
      <w:r>
        <w:rPr>
          <w:rFonts w:hint="eastAsia" w:ascii="宋体" w:hAnsi="宋体" w:eastAsia="宋体" w:cs="宋体"/>
          <w:color w:val="000000" w:themeColor="text1"/>
          <w:sz w:val="28"/>
          <w:szCs w:val="28"/>
          <w:u w:val="single"/>
          <w:lang w:val="en-US" w:eastAsia="zh-CN"/>
          <w14:textFill>
            <w14:solidFill>
              <w14:schemeClr w14:val="tx1"/>
            </w14:solidFill>
          </w14:textFill>
        </w:rPr>
        <w:t>……</w:t>
      </w:r>
      <w:r>
        <w:rPr>
          <w:rFonts w:hint="eastAsia" w:ascii="仿宋_GB2312" w:hAnsi="仿宋_GB2312" w:eastAsia="仿宋_GB2312" w:cs="仿宋_GB2312"/>
          <w:color w:val="000000" w:themeColor="text1"/>
          <w:sz w:val="28"/>
          <w:szCs w:val="28"/>
          <w:u w:val="single"/>
          <w:lang w:val="en-US"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(即投标下浮率，投标下浮率最终以公式计算为准)下浮计取。</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投标下浮率公式如下:</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投标下浮率=[(最高投标限价-非竞争性费用)-(中标价-非竞争性费用)]/[最高投标限价-非竞争性费用</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*100%</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备注:1.以上各项金额均为含税价。</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2.非竞争性费用包括:绿色施工安全防护措施费、暂列金额、暂估价及其他招文中明确约定属于非竞争性费用的金额。</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3.投标下浮率以百分比计算，精确到小数点后</w:t>
      </w:r>
      <w:r>
        <w:rPr>
          <w:rFonts w:hint="eastAsia" w:ascii="仿宋_GB2312" w:hAnsi="仿宋_GB2312" w:eastAsia="仿宋_GB2312" w:cs="仿宋_GB2312"/>
          <w:color w:val="000000" w:themeColor="text1"/>
          <w:sz w:val="28"/>
          <w:szCs w:val="28"/>
          <w:u w:val="single"/>
          <w14:textFill>
            <w14:solidFill>
              <w14:schemeClr w14:val="tx1"/>
            </w14:solidFill>
          </w14:textFill>
        </w:rPr>
        <w:t>2</w:t>
      </w:r>
      <w:r>
        <w:rPr>
          <w:rFonts w:hint="eastAsia" w:ascii="仿宋_GB2312" w:hAnsi="仿宋_GB2312" w:eastAsia="仿宋_GB2312" w:cs="仿宋_GB2312"/>
          <w:color w:val="000000" w:themeColor="text1"/>
          <w:sz w:val="28"/>
          <w:szCs w:val="28"/>
          <w14:textFill>
            <w14:solidFill>
              <w14:schemeClr w14:val="tx1"/>
            </w14:solidFill>
          </w14:textFill>
        </w:rPr>
        <w:t>位。</w:t>
      </w:r>
    </w:p>
    <w:p>
      <w:pPr>
        <w:tabs>
          <w:tab w:val="left" w:pos="851"/>
        </w:tabs>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4.5</w:t>
      </w:r>
      <w:r>
        <w:rPr>
          <w:rFonts w:hint="eastAsia" w:ascii="仿宋_GB2312" w:hAnsi="仿宋_GB2312" w:eastAsia="仿宋_GB2312" w:cs="仿宋_GB2312"/>
          <w:sz w:val="28"/>
          <w:szCs w:val="28"/>
        </w:rPr>
        <w:t>乙方送审结算时，应提供（子项）工程合同清单报价（量）与送审的工程清单报价（量）对比表，包括分部分项清单、措施项目清单、其他项目清单等对比表（含纸质版盖章及软件版）、主材设备发票或其他甲方认可的收据等资料。</w:t>
      </w:r>
    </w:p>
    <w:p>
      <w:pPr>
        <w:tabs>
          <w:tab w:val="left" w:pos="851"/>
        </w:tabs>
        <w:spacing w:line="560" w:lineRule="exact"/>
        <w:ind w:firstLine="562" w:firstLineChars="200"/>
        <w:jc w:val="left"/>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第五条 工期及要求</w:t>
      </w:r>
    </w:p>
    <w:p>
      <w:pPr>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5.1工期</w:t>
      </w:r>
    </w:p>
    <w:p>
      <w:pPr>
        <w:spacing w:line="560" w:lineRule="exact"/>
        <w:ind w:firstLine="562"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(单项项目/统筹项目适用）</w:t>
      </w:r>
      <w:r>
        <w:rPr>
          <w:rFonts w:hint="eastAsia" w:ascii="仿宋_GB2312" w:hAnsi="仿宋_GB2312" w:eastAsia="仿宋_GB2312" w:cs="仿宋_GB2312"/>
          <w:color w:val="000000" w:themeColor="text1"/>
          <w:sz w:val="28"/>
          <w:szCs w:val="28"/>
          <w14:textFill>
            <w14:solidFill>
              <w14:schemeClr w14:val="tx1"/>
            </w14:solidFill>
          </w14:textFill>
        </w:rPr>
        <w:t>合同工期为</w:t>
      </w:r>
      <w:r>
        <w:rPr>
          <w:rFonts w:hint="eastAsia" w:ascii="仿宋_GB2312" w:hAnsi="仿宋_GB2312" w:eastAsia="仿宋_GB2312" w:cs="仿宋_GB2312"/>
          <w:color w:val="000000" w:themeColor="text1"/>
          <w:sz w:val="28"/>
          <w:szCs w:val="28"/>
          <w:u w:val="single"/>
          <w14:textFill>
            <w14:solidFill>
              <w14:schemeClr w14:val="tx1"/>
            </w14:solidFill>
          </w14:textFill>
        </w:rPr>
        <w:t>：</w:t>
      </w:r>
      <w:r>
        <w:rPr>
          <w:rFonts w:hint="eastAsia" w:ascii="仿宋_GB2312" w:hAnsi="仿宋_GB2312" w:eastAsia="仿宋_GB2312" w:cs="仿宋_GB2312"/>
          <w:color w:val="000000" w:themeColor="text1"/>
          <w:sz w:val="28"/>
          <w:szCs w:val="28"/>
          <w:highlight w:val="none"/>
          <w:u w:val="single"/>
          <w:lang w:val="en-US" w:eastAsia="zh-CN"/>
          <w14:textFill>
            <w14:solidFill>
              <w14:schemeClr w14:val="tx1"/>
            </w14:solidFill>
          </w14:textFill>
        </w:rPr>
        <w:t>45</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天</w:t>
      </w:r>
      <w:r>
        <w:rPr>
          <w:rFonts w:hint="eastAsia" w:ascii="仿宋_GB2312" w:hAnsi="仿宋_GB2312" w:eastAsia="仿宋_GB2312" w:cs="仿宋_GB2312"/>
          <w:color w:val="000000" w:themeColor="text1"/>
          <w:sz w:val="28"/>
          <w:szCs w:val="28"/>
          <w14:textFill>
            <w14:solidFill>
              <w14:schemeClr w14:val="tx1"/>
            </w14:solidFill>
          </w14:textFill>
        </w:rPr>
        <w:t>，其中施工工期为</w:t>
      </w:r>
      <w:r>
        <w:rPr>
          <w:rFonts w:hint="eastAsia" w:ascii="仿宋_GB2312" w:hAnsi="仿宋_GB2312" w:eastAsia="仿宋_GB2312" w:cs="仿宋_GB2312"/>
          <w:color w:val="000000" w:themeColor="text1"/>
          <w:sz w:val="28"/>
          <w:szCs w:val="28"/>
          <w:u w:val="single"/>
          <w14:textFill>
            <w14:solidFill>
              <w14:schemeClr w14:val="tx1"/>
            </w14:solidFill>
          </w14:textFill>
        </w:rPr>
        <w:t>：</w:t>
      </w:r>
      <w:r>
        <w:rPr>
          <w:rFonts w:hint="eastAsia" w:ascii="仿宋_GB2312" w:hAnsi="仿宋_GB2312" w:eastAsia="仿宋_GB2312" w:cs="仿宋_GB2312"/>
          <w:color w:val="000000" w:themeColor="text1"/>
          <w:sz w:val="28"/>
          <w:szCs w:val="28"/>
          <w:highlight w:val="none"/>
          <w:u w:val="single"/>
          <w:lang w:val="en-US" w:eastAsia="zh-CN"/>
          <w14:textFill>
            <w14:solidFill>
              <w14:schemeClr w14:val="tx1"/>
            </w14:solidFill>
          </w14:textFill>
        </w:rPr>
        <w:t>45</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天</w:t>
      </w:r>
      <w:r>
        <w:rPr>
          <w:rFonts w:hint="eastAsia" w:ascii="仿宋_GB2312" w:hAnsi="仿宋_GB2312" w:eastAsia="仿宋_GB2312" w:cs="仿宋_GB2312"/>
          <w:color w:val="000000" w:themeColor="text1"/>
          <w:sz w:val="28"/>
          <w:szCs w:val="28"/>
          <w14:textFill>
            <w14:solidFill>
              <w14:schemeClr w14:val="tx1"/>
            </w14:solidFill>
          </w14:textFill>
        </w:rPr>
        <w:t>；开工日期暂定为</w:t>
      </w:r>
      <w:r>
        <w:rPr>
          <w:rFonts w:hint="eastAsia" w:ascii="仿宋_GB2312" w:hAnsi="仿宋_GB2312" w:eastAsia="仿宋_GB2312" w:cs="仿宋_GB2312"/>
          <w:color w:val="000000" w:themeColor="text1"/>
          <w:sz w:val="28"/>
          <w:szCs w:val="28"/>
          <w:u w:val="single"/>
          <w14:textFill>
            <w14:solidFill>
              <w14:schemeClr w14:val="tx1"/>
            </w14:solidFill>
          </w14:textFill>
        </w:rPr>
        <w:t>：/年/月/日</w:t>
      </w:r>
      <w:r>
        <w:rPr>
          <w:rFonts w:hint="eastAsia" w:ascii="仿宋_GB2312" w:hAnsi="仿宋_GB2312" w:eastAsia="仿宋_GB2312" w:cs="仿宋_GB2312"/>
          <w:color w:val="000000" w:themeColor="text1"/>
          <w:sz w:val="28"/>
          <w:szCs w:val="28"/>
          <w14:textFill>
            <w14:solidFill>
              <w14:schemeClr w14:val="tx1"/>
            </w14:solidFill>
          </w14:textFill>
        </w:rPr>
        <w:t>，具体日期以甲方发出的开工报告/通知为准。</w:t>
      </w:r>
    </w:p>
    <w:p>
      <w:pPr>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乙方不能按时开工，应当于开工报告/通知载明的开工日期</w:t>
      </w:r>
      <w:r>
        <w:rPr>
          <w:rFonts w:hint="eastAsia" w:ascii="仿宋_GB2312" w:hAnsi="仿宋_GB2312" w:eastAsia="仿宋_GB2312" w:cs="仿宋_GB2312"/>
          <w:color w:val="000000" w:themeColor="text1"/>
          <w:sz w:val="28"/>
          <w:szCs w:val="28"/>
          <w:u w:val="single"/>
          <w14:textFill>
            <w14:solidFill>
              <w14:schemeClr w14:val="tx1"/>
            </w14:solidFill>
          </w14:textFill>
        </w:rPr>
        <w:t>7</w:t>
      </w:r>
      <w:r>
        <w:rPr>
          <w:rFonts w:hint="eastAsia" w:ascii="仿宋_GB2312" w:hAnsi="仿宋_GB2312" w:eastAsia="仿宋_GB2312" w:cs="仿宋_GB2312"/>
          <w:color w:val="000000" w:themeColor="text1"/>
          <w:sz w:val="28"/>
          <w:szCs w:val="28"/>
          <w14:textFill>
            <w14:solidFill>
              <w14:schemeClr w14:val="tx1"/>
            </w14:solidFill>
          </w14:textFill>
        </w:rPr>
        <w:t>天前，以书面形式向甲方提出延期开工的理由。甲方应当在接到延期开工申请后的</w:t>
      </w:r>
      <w:r>
        <w:rPr>
          <w:rFonts w:hint="eastAsia" w:ascii="仿宋_GB2312" w:hAnsi="仿宋_GB2312" w:eastAsia="仿宋_GB2312" w:cs="仿宋_GB2312"/>
          <w:color w:val="000000" w:themeColor="text1"/>
          <w:sz w:val="28"/>
          <w:szCs w:val="28"/>
          <w:u w:val="single"/>
          <w14:textFill>
            <w14:solidFill>
              <w14:schemeClr w14:val="tx1"/>
            </w14:solidFill>
          </w14:textFill>
        </w:rPr>
        <w:t>48小时</w:t>
      </w:r>
      <w:r>
        <w:rPr>
          <w:rFonts w:hint="eastAsia" w:ascii="仿宋_GB2312" w:hAnsi="仿宋_GB2312" w:eastAsia="仿宋_GB2312" w:cs="仿宋_GB2312"/>
          <w:color w:val="000000" w:themeColor="text1"/>
          <w:sz w:val="28"/>
          <w:szCs w:val="28"/>
          <w14:textFill>
            <w14:solidFill>
              <w14:schemeClr w14:val="tx1"/>
            </w14:solidFill>
          </w14:textFill>
        </w:rPr>
        <w:t>内以书面形式答复乙方。甲方在接到延期开工申请后</w:t>
      </w:r>
      <w:r>
        <w:rPr>
          <w:rFonts w:hint="eastAsia" w:ascii="仿宋_GB2312" w:hAnsi="仿宋_GB2312" w:eastAsia="仿宋_GB2312" w:cs="仿宋_GB2312"/>
          <w:color w:val="000000" w:themeColor="text1"/>
          <w:sz w:val="28"/>
          <w:szCs w:val="28"/>
          <w:u w:val="single"/>
          <w14:textFill>
            <w14:solidFill>
              <w14:schemeClr w14:val="tx1"/>
            </w14:solidFill>
          </w14:textFill>
        </w:rPr>
        <w:t>48小时</w:t>
      </w:r>
      <w:r>
        <w:rPr>
          <w:rFonts w:hint="eastAsia" w:ascii="仿宋_GB2312" w:hAnsi="仿宋_GB2312" w:eastAsia="仿宋_GB2312" w:cs="仿宋_GB2312"/>
          <w:color w:val="000000" w:themeColor="text1"/>
          <w:sz w:val="28"/>
          <w:szCs w:val="28"/>
          <w14:textFill>
            <w14:solidFill>
              <w14:schemeClr w14:val="tx1"/>
            </w14:solidFill>
          </w14:textFill>
        </w:rPr>
        <w:t>内不答复，视为同意乙方要求，工期相应顺延。甲方不同意延期要求或乙方未在规定时间内提出延期开工，工期不予顺延。</w:t>
      </w:r>
    </w:p>
    <w:p>
      <w:pPr>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因乙方原因未按甲方开工通知时间进场施工的，每逾期一日，应按</w:t>
      </w:r>
      <w:r>
        <w:rPr>
          <w:rFonts w:hint="eastAsia" w:ascii="仿宋_GB2312" w:hAnsi="仿宋_GB2312" w:eastAsia="仿宋_GB2312" w:cs="仿宋_GB2312"/>
          <w:color w:val="000000" w:themeColor="text1"/>
          <w:sz w:val="28"/>
          <w:szCs w:val="28"/>
          <w:u w:val="single"/>
          <w14:textFill>
            <w14:solidFill>
              <w14:schemeClr w14:val="tx1"/>
            </w14:solidFill>
          </w14:textFill>
        </w:rPr>
        <w:t>2000元/日</w:t>
      </w:r>
      <w:r>
        <w:rPr>
          <w:rFonts w:hint="eastAsia" w:ascii="仿宋_GB2312" w:hAnsi="仿宋_GB2312" w:eastAsia="仿宋_GB2312" w:cs="仿宋_GB2312"/>
          <w:color w:val="000000" w:themeColor="text1"/>
          <w:sz w:val="28"/>
          <w:szCs w:val="28"/>
          <w14:textFill>
            <w14:solidFill>
              <w14:schemeClr w14:val="tx1"/>
            </w14:solidFill>
          </w14:textFill>
        </w:rPr>
        <w:t>支付逾期违约金，逾期达到</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7 </w:t>
      </w:r>
      <w:r>
        <w:rPr>
          <w:rFonts w:hint="eastAsia" w:ascii="仿宋_GB2312" w:hAnsi="仿宋_GB2312" w:eastAsia="仿宋_GB2312" w:cs="仿宋_GB2312"/>
          <w:color w:val="000000" w:themeColor="text1"/>
          <w:sz w:val="28"/>
          <w:szCs w:val="28"/>
          <w14:textFill>
            <w14:solidFill>
              <w14:schemeClr w14:val="tx1"/>
            </w14:solidFill>
          </w14:textFill>
        </w:rPr>
        <w:t>日及以上的，甲方有权解除合同，由此而造成的经济损失由乙方负责赔偿。</w:t>
      </w:r>
    </w:p>
    <w:p>
      <w:pPr>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乙方未能按合同约定竣工验收的，每逾期一天，甲方有权要求乙方按</w:t>
      </w:r>
      <w:r>
        <w:rPr>
          <w:rFonts w:hint="eastAsia" w:ascii="仿宋_GB2312" w:hAnsi="仿宋_GB2312" w:eastAsia="仿宋_GB2312" w:cs="仿宋_GB2312"/>
          <w:color w:val="000000" w:themeColor="text1"/>
          <w:sz w:val="28"/>
          <w:szCs w:val="28"/>
          <w:u w:val="single"/>
          <w14:textFill>
            <w14:solidFill>
              <w14:schemeClr w14:val="tx1"/>
            </w14:solidFill>
          </w14:textFill>
        </w:rPr>
        <w:t>项目/对应子项目合同暂定总价/子项预算价的 1%</w:t>
      </w:r>
      <w:r>
        <w:rPr>
          <w:rFonts w:hint="eastAsia" w:ascii="仿宋_GB2312" w:hAnsi="仿宋_GB2312" w:eastAsia="仿宋_GB2312" w:cs="仿宋_GB2312"/>
          <w:color w:val="000000" w:themeColor="text1"/>
          <w:sz w:val="28"/>
          <w:szCs w:val="28"/>
          <w14:textFill>
            <w14:solidFill>
              <w14:schemeClr w14:val="tx1"/>
            </w14:solidFill>
          </w14:textFill>
        </w:rPr>
        <w:t>支付违约金，逾期达到</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20 </w:t>
      </w:r>
      <w:r>
        <w:rPr>
          <w:rFonts w:hint="eastAsia" w:ascii="仿宋_GB2312" w:hAnsi="仿宋_GB2312" w:eastAsia="仿宋_GB2312" w:cs="仿宋_GB2312"/>
          <w:color w:val="000000" w:themeColor="text1"/>
          <w:sz w:val="28"/>
          <w:szCs w:val="28"/>
          <w14:textFill>
            <w14:solidFill>
              <w14:schemeClr w14:val="tx1"/>
            </w14:solidFill>
          </w14:textFill>
        </w:rPr>
        <w:t>天及以上的，甲方有权解除合同并要求乙方支付</w:t>
      </w:r>
      <w:r>
        <w:rPr>
          <w:rFonts w:hint="eastAsia" w:ascii="仿宋_GB2312" w:hAnsi="仿宋_GB2312" w:eastAsia="仿宋_GB2312" w:cs="仿宋_GB2312"/>
          <w:color w:val="000000" w:themeColor="text1"/>
          <w:sz w:val="28"/>
          <w:szCs w:val="28"/>
          <w:u w:val="single"/>
          <w14:textFill>
            <w14:solidFill>
              <w14:schemeClr w14:val="tx1"/>
            </w14:solidFill>
          </w14:textFill>
        </w:rPr>
        <w:t>项目/对应子项目合同暂定总价/子项预算价的20%</w:t>
      </w:r>
      <w:r>
        <w:rPr>
          <w:rFonts w:hint="eastAsia" w:ascii="仿宋_GB2312" w:hAnsi="仿宋_GB2312" w:eastAsia="仿宋_GB2312" w:cs="仿宋_GB2312"/>
          <w:color w:val="000000" w:themeColor="text1"/>
          <w:sz w:val="28"/>
          <w:szCs w:val="28"/>
          <w14:textFill>
            <w14:solidFill>
              <w14:schemeClr w14:val="tx1"/>
            </w14:solidFill>
          </w14:textFill>
        </w:rPr>
        <w:t>作为违约金。</w:t>
      </w:r>
    </w:p>
    <w:p>
      <w:pPr>
        <w:pStyle w:val="14"/>
        <w:spacing w:line="560" w:lineRule="exact"/>
        <w:ind w:firstLine="528" w:firstLineChars="200"/>
        <w:rPr>
          <w:rFonts w:hint="eastAsia" w:ascii="仿宋_GB2312" w:hAnsi="仿宋_GB2312" w:eastAsia="仿宋_GB2312" w:cs="仿宋_GB2312"/>
          <w:color w:val="000000" w:themeColor="text1"/>
          <w:sz w:val="28"/>
          <w:szCs w:val="28"/>
          <w14:textFill>
            <w14:solidFill>
              <w14:schemeClr w14:val="tx1"/>
            </w14:solidFill>
          </w14:textFill>
        </w:rPr>
      </w:pPr>
      <w:bookmarkStart w:id="67" w:name="_Toc3872"/>
      <w:bookmarkStart w:id="68" w:name="_Toc15706"/>
      <w:r>
        <w:rPr>
          <w:rFonts w:hint="eastAsia" w:ascii="仿宋_GB2312" w:hAnsi="仿宋_GB2312" w:eastAsia="仿宋_GB2312" w:cs="仿宋_GB2312"/>
          <w:color w:val="000000" w:themeColor="text1"/>
          <w:spacing w:val="-8"/>
          <w:sz w:val="28"/>
          <w:szCs w:val="28"/>
          <w14:textFill>
            <w14:solidFill>
              <w14:schemeClr w14:val="tx1"/>
            </w14:solidFill>
          </w14:textFill>
        </w:rPr>
        <w:t>5.2合同签订后，在收到甲方开工通知后7天内，乙方需提交完整的盖章版施工备案资料，</w:t>
      </w:r>
      <w:r>
        <w:rPr>
          <w:rFonts w:hint="eastAsia" w:ascii="仿宋_GB2312" w:hAnsi="仿宋_GB2312" w:eastAsia="仿宋_GB2312" w:cs="仿宋_GB2312"/>
          <w:color w:val="000000" w:themeColor="text1"/>
          <w:sz w:val="28"/>
          <w:szCs w:val="28"/>
          <w14:textFill>
            <w14:solidFill>
              <w14:schemeClr w14:val="tx1"/>
            </w14:solidFill>
          </w14:textFill>
        </w:rPr>
        <w:t>每逾期一日，应按</w:t>
      </w:r>
      <w:r>
        <w:rPr>
          <w:rFonts w:hint="eastAsia" w:ascii="仿宋_GB2312" w:hAnsi="仿宋_GB2312" w:eastAsia="仿宋_GB2312" w:cs="仿宋_GB2312"/>
          <w:color w:val="000000" w:themeColor="text1"/>
          <w:sz w:val="28"/>
          <w:szCs w:val="28"/>
          <w:u w:val="single"/>
          <w14:textFill>
            <w14:solidFill>
              <w14:schemeClr w14:val="tx1"/>
            </w14:solidFill>
          </w14:textFill>
        </w:rPr>
        <w:t>项目/对应子项目合同暂定总价/子项预算价的1%/日</w:t>
      </w:r>
      <w:r>
        <w:rPr>
          <w:rFonts w:hint="eastAsia" w:ascii="仿宋_GB2312" w:hAnsi="仿宋_GB2312" w:eastAsia="仿宋_GB2312" w:cs="仿宋_GB2312"/>
          <w:color w:val="000000" w:themeColor="text1"/>
          <w:sz w:val="28"/>
          <w:szCs w:val="28"/>
          <w14:textFill>
            <w14:solidFill>
              <w14:schemeClr w14:val="tx1"/>
            </w14:solidFill>
          </w14:textFill>
        </w:rPr>
        <w:t>支付逾期违约金，逾期达到</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7 </w:t>
      </w:r>
      <w:r>
        <w:rPr>
          <w:rFonts w:hint="eastAsia" w:ascii="仿宋_GB2312" w:hAnsi="仿宋_GB2312" w:eastAsia="仿宋_GB2312" w:cs="仿宋_GB2312"/>
          <w:color w:val="000000" w:themeColor="text1"/>
          <w:sz w:val="28"/>
          <w:szCs w:val="28"/>
          <w14:textFill>
            <w14:solidFill>
              <w14:schemeClr w14:val="tx1"/>
            </w14:solidFill>
          </w14:textFill>
        </w:rPr>
        <w:t>日及以上的，甲方有权解除合同。</w:t>
      </w:r>
      <w:bookmarkEnd w:id="67"/>
      <w:bookmarkEnd w:id="68"/>
    </w:p>
    <w:p>
      <w:pPr>
        <w:spacing w:line="560" w:lineRule="exact"/>
        <w:ind w:firstLine="560" w:firstLineChars="200"/>
        <w:jc w:val="left"/>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5.3乙方在施工期间应严格遵守《中华人民共和国安全生产法》、《建设工程安全生产管理条例》等法律法规以及文明施工、深夜施工、环卫和城管等规定，建立规章制度和防护措施并向甲方报备。如甲方或相关职能部门在施工过程中发现安全问题或者发出整改通知书，乙方应立即停工整改。如果逾期不整改或者整改不符合合同约定，甲方有权要求乙方支付</w:t>
      </w:r>
      <w:r>
        <w:rPr>
          <w:rFonts w:hint="eastAsia" w:ascii="仿宋_GB2312" w:hAnsi="仿宋_GB2312" w:eastAsia="仿宋_GB2312" w:cs="仿宋_GB2312"/>
          <w:bCs/>
          <w:color w:val="000000" w:themeColor="text1"/>
          <w:sz w:val="28"/>
          <w:szCs w:val="28"/>
          <w:u w:val="single"/>
          <w14:textFill>
            <w14:solidFill>
              <w14:schemeClr w14:val="tx1"/>
            </w14:solidFill>
          </w14:textFill>
        </w:rPr>
        <w:t>合同暂定总价的5%/次</w:t>
      </w:r>
      <w:r>
        <w:rPr>
          <w:rFonts w:hint="eastAsia" w:ascii="仿宋_GB2312" w:hAnsi="仿宋_GB2312" w:eastAsia="仿宋_GB2312" w:cs="仿宋_GB2312"/>
          <w:bCs/>
          <w:color w:val="000000" w:themeColor="text1"/>
          <w:sz w:val="28"/>
          <w:szCs w:val="28"/>
          <w14:textFill>
            <w14:solidFill>
              <w14:schemeClr w14:val="tx1"/>
            </w14:solidFill>
          </w14:textFill>
        </w:rPr>
        <w:t>作为违约金，超过三次（含三次）的，甲方有权解除合同，要求乙方支付</w:t>
      </w:r>
      <w:r>
        <w:rPr>
          <w:rFonts w:hint="eastAsia" w:ascii="仿宋_GB2312" w:hAnsi="仿宋_GB2312" w:eastAsia="仿宋_GB2312" w:cs="仿宋_GB2312"/>
          <w:bCs/>
          <w:color w:val="000000" w:themeColor="text1"/>
          <w:sz w:val="28"/>
          <w:szCs w:val="28"/>
          <w:u w:val="single"/>
          <w14:textFill>
            <w14:solidFill>
              <w14:schemeClr w14:val="tx1"/>
            </w14:solidFill>
          </w14:textFill>
        </w:rPr>
        <w:t>合同暂定总价的20%</w:t>
      </w:r>
      <w:r>
        <w:rPr>
          <w:rFonts w:hint="eastAsia" w:ascii="仿宋_GB2312" w:hAnsi="仿宋_GB2312" w:eastAsia="仿宋_GB2312" w:cs="仿宋_GB2312"/>
          <w:bCs/>
          <w:color w:val="000000" w:themeColor="text1"/>
          <w:sz w:val="28"/>
          <w:szCs w:val="28"/>
          <w14:textFill>
            <w14:solidFill>
              <w14:schemeClr w14:val="tx1"/>
            </w14:solidFill>
          </w14:textFill>
        </w:rPr>
        <w:t>作为违约金。由此造成的经济和法律责任，均由乙方负责。</w:t>
      </w:r>
    </w:p>
    <w:p>
      <w:pPr>
        <w:spacing w:line="560" w:lineRule="exact"/>
        <w:ind w:left="1" w:firstLine="560" w:firstLineChars="200"/>
        <w:jc w:val="left"/>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 xml:space="preserve">5.4乙方应按合同及甲方提供的技术文件要求进行本项目实施和安装。乙方未经甲方同意，不得将本项目图纸泄露或转给第三人。除乙方存档需要的图纸外，乙方应于项目质量保修期满后 </w:t>
      </w:r>
      <w:r>
        <w:rPr>
          <w:rFonts w:hint="eastAsia" w:ascii="仿宋_GB2312" w:hAnsi="仿宋_GB2312" w:eastAsia="仿宋_GB2312" w:cs="仿宋_GB2312"/>
          <w:bCs/>
          <w:color w:val="000000" w:themeColor="text1"/>
          <w:sz w:val="28"/>
          <w:szCs w:val="28"/>
          <w:u w:val="single"/>
          <w14:textFill>
            <w14:solidFill>
              <w14:schemeClr w14:val="tx1"/>
            </w14:solidFill>
          </w14:textFill>
        </w:rPr>
        <w:t xml:space="preserve"> 15  日</w:t>
      </w:r>
      <w:r>
        <w:rPr>
          <w:rFonts w:hint="eastAsia" w:ascii="仿宋_GB2312" w:hAnsi="仿宋_GB2312" w:eastAsia="仿宋_GB2312" w:cs="仿宋_GB2312"/>
          <w:bCs/>
          <w:color w:val="000000" w:themeColor="text1"/>
          <w:sz w:val="28"/>
          <w:szCs w:val="28"/>
          <w14:textFill>
            <w14:solidFill>
              <w14:schemeClr w14:val="tx1"/>
            </w14:solidFill>
          </w14:textFill>
        </w:rPr>
        <w:t>内将全部图纸退还给甲方。</w:t>
      </w:r>
    </w:p>
    <w:p>
      <w:pPr>
        <w:tabs>
          <w:tab w:val="left" w:pos="851"/>
        </w:tabs>
        <w:spacing w:line="56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bCs/>
          <w:color w:val="000000" w:themeColor="text1"/>
          <w:sz w:val="28"/>
          <w:szCs w:val="28"/>
          <w14:textFill>
            <w14:solidFill>
              <w14:schemeClr w14:val="tx1"/>
            </w14:solidFill>
          </w14:textFill>
        </w:rPr>
        <w:t>5.5</w:t>
      </w:r>
      <w:r>
        <w:rPr>
          <w:rFonts w:hint="eastAsia" w:ascii="仿宋_GB2312" w:hAnsi="仿宋_GB2312" w:eastAsia="仿宋_GB2312" w:cs="仿宋_GB2312"/>
          <w:sz w:val="28"/>
          <w:szCs w:val="28"/>
        </w:rPr>
        <w:t>乙方保证其具有符合法律法规要求的完成本工程项目应具有的相应资质，禁止转包和</w:t>
      </w:r>
      <w:r>
        <w:rPr>
          <w:rFonts w:hint="eastAsia" w:ascii="仿宋_GB2312" w:hAnsi="仿宋_GB2312" w:eastAsia="仿宋_GB2312" w:cs="仿宋_GB2312"/>
          <w:sz w:val="28"/>
          <w:szCs w:val="28"/>
          <w:u w:val="single"/>
        </w:rPr>
        <w:t>专业分包/分包</w:t>
      </w:r>
      <w:r>
        <w:rPr>
          <w:rFonts w:hint="eastAsia" w:ascii="仿宋_GB2312" w:hAnsi="仿宋_GB2312" w:eastAsia="仿宋_GB2312" w:cs="仿宋_GB2312"/>
          <w:sz w:val="28"/>
          <w:szCs w:val="28"/>
        </w:rPr>
        <w:t>，如违反上述约定，甲方有权解除合同，要求乙方支付</w:t>
      </w:r>
      <w:r>
        <w:rPr>
          <w:rFonts w:hint="eastAsia" w:ascii="仿宋_GB2312" w:hAnsi="仿宋_GB2312" w:eastAsia="仿宋_GB2312" w:cs="仿宋_GB2312"/>
          <w:sz w:val="28"/>
          <w:szCs w:val="28"/>
          <w:u w:val="single"/>
        </w:rPr>
        <w:t>合同暂定总价10%</w:t>
      </w:r>
      <w:r>
        <w:rPr>
          <w:rFonts w:hint="eastAsia" w:ascii="仿宋_GB2312" w:hAnsi="仿宋_GB2312" w:eastAsia="仿宋_GB2312" w:cs="仿宋_GB2312"/>
          <w:sz w:val="28"/>
          <w:szCs w:val="28"/>
        </w:rPr>
        <w:t>作为违约金，由此造成一切责任由乙方承担。</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5.6乙方不得随意更换项目负责人及附件5中的相关人员（人员名单应与乙方在投标文件/报价文件中所载明的人员一致），如确须更换，应提前征得甲方同意。如有违反，甲方有权解除合同并要求乙方支付</w:t>
      </w:r>
      <w:r>
        <w:rPr>
          <w:rFonts w:hint="eastAsia" w:ascii="仿宋_GB2312" w:hAnsi="仿宋_GB2312" w:eastAsia="仿宋_GB2312" w:cs="仿宋_GB2312"/>
          <w:color w:val="000000" w:themeColor="text1"/>
          <w:sz w:val="28"/>
          <w:szCs w:val="28"/>
          <w:u w:val="single"/>
          <w14:textFill>
            <w14:solidFill>
              <w14:schemeClr w14:val="tx1"/>
            </w14:solidFill>
          </w14:textFill>
        </w:rPr>
        <w:t>1000元/人次</w:t>
      </w:r>
      <w:r>
        <w:rPr>
          <w:rFonts w:hint="eastAsia" w:ascii="仿宋_GB2312" w:hAnsi="仿宋_GB2312" w:eastAsia="仿宋_GB2312" w:cs="仿宋_GB2312"/>
          <w:color w:val="000000" w:themeColor="text1"/>
          <w:sz w:val="28"/>
          <w:szCs w:val="28"/>
          <w14:textFill>
            <w14:solidFill>
              <w14:schemeClr w14:val="tx1"/>
            </w14:solidFill>
          </w14:textFill>
        </w:rPr>
        <w:t xml:space="preserve">作为违约金，以及赔偿由此造成的一切损失(包含质量安全事故、工期延误、增加投资等)。 </w:t>
      </w:r>
    </w:p>
    <w:p>
      <w:pPr>
        <w:pStyle w:val="51"/>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    5.7</w:t>
      </w:r>
      <w:r>
        <w:rPr>
          <w:rFonts w:hint="eastAsia" w:ascii="仿宋_GB2312" w:hAnsi="仿宋_GB2312" w:eastAsia="仿宋_GB2312" w:cs="仿宋_GB2312"/>
          <w:bCs/>
          <w:color w:val="000000" w:themeColor="text1"/>
          <w:spacing w:val="-8"/>
          <w:sz w:val="28"/>
          <w:szCs w:val="28"/>
          <w14:textFill>
            <w14:solidFill>
              <w14:schemeClr w14:val="tx1"/>
            </w14:solidFill>
          </w14:textFill>
        </w:rPr>
        <w:t>乙方需满足项目同时实施要求，拟投入工程人员配备响应表配备相应工作人员以满足甲方要求，若因人员不足或人员素质不能满足工程实际需要时，乙方需无条件按照甲方的要求更换或增加相关人员。否则甲方有权解除合同并要求乙方支付</w:t>
      </w:r>
      <w:r>
        <w:rPr>
          <w:rFonts w:hint="eastAsia" w:ascii="仿宋_GB2312" w:hAnsi="仿宋_GB2312" w:eastAsia="仿宋_GB2312" w:cs="仿宋_GB2312"/>
          <w:bCs/>
          <w:color w:val="000000" w:themeColor="text1"/>
          <w:spacing w:val="-8"/>
          <w:sz w:val="28"/>
          <w:szCs w:val="28"/>
          <w:u w:val="single"/>
          <w14:textFill>
            <w14:solidFill>
              <w14:schemeClr w14:val="tx1"/>
            </w14:solidFill>
          </w14:textFill>
        </w:rPr>
        <w:t>5000</w:t>
      </w:r>
      <w:r>
        <w:rPr>
          <w:rFonts w:hint="eastAsia" w:ascii="仿宋_GB2312" w:hAnsi="仿宋_GB2312" w:eastAsia="仿宋_GB2312" w:cs="仿宋_GB2312"/>
          <w:bCs/>
          <w:color w:val="000000" w:themeColor="text1"/>
          <w:spacing w:val="-8"/>
          <w:sz w:val="28"/>
          <w:szCs w:val="28"/>
          <w14:textFill>
            <w14:solidFill>
              <w14:schemeClr w14:val="tx1"/>
            </w14:solidFill>
          </w14:textFill>
        </w:rPr>
        <w:t>元作为违约金。</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5.8施工过程中，项目负责人应驻场管理，否则甲方有权要求乙方支付违约</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1000元/天</w:t>
      </w:r>
      <w:r>
        <w:rPr>
          <w:rFonts w:hint="eastAsia" w:ascii="仿宋_GB2312" w:hAnsi="仿宋_GB2312" w:eastAsia="仿宋_GB2312" w:cs="仿宋_GB2312"/>
          <w:color w:val="000000" w:themeColor="text1"/>
          <w:sz w:val="28"/>
          <w:szCs w:val="28"/>
          <w14:textFill>
            <w14:solidFill>
              <w14:schemeClr w14:val="tx1"/>
            </w14:solidFill>
          </w14:textFill>
        </w:rPr>
        <w:t>，因此造成损失的，按实际发生额赔偿。</w:t>
      </w:r>
    </w:p>
    <w:p>
      <w:pPr>
        <w:tabs>
          <w:tab w:val="left" w:pos="851"/>
        </w:tabs>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5.9甲方发现乙方未遵守安全生产和文明施工规定或施工现场存在安全事故隐患的，以书面形式通知乙方整改；情况严重的，可要求乙方暂停施工。乙方在收到书面通知后的48小时内仍未整改的，甲方有权委托第三方整改，所产生的费用由甲方从应付或将付给乙方的款项中扣除，且乙方支付</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合同暂定价的5% </w:t>
      </w:r>
      <w:r>
        <w:rPr>
          <w:rFonts w:hint="eastAsia" w:ascii="仿宋_GB2312" w:hAnsi="仿宋_GB2312" w:eastAsia="仿宋_GB2312" w:cs="仿宋_GB2312"/>
          <w:color w:val="000000" w:themeColor="text1"/>
          <w:sz w:val="28"/>
          <w:szCs w:val="28"/>
          <w14:textFill>
            <w14:solidFill>
              <w14:schemeClr w14:val="tx1"/>
            </w14:solidFill>
          </w14:textFill>
        </w:rPr>
        <w:t>/次的违约金。</w:t>
      </w:r>
    </w:p>
    <w:p>
      <w:pPr>
        <w:tabs>
          <w:tab w:val="left" w:pos="851"/>
        </w:tabs>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出现上述情形超过</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3  </w:t>
      </w:r>
      <w:r>
        <w:rPr>
          <w:rFonts w:hint="eastAsia" w:ascii="仿宋_GB2312" w:hAnsi="仿宋_GB2312" w:eastAsia="仿宋_GB2312" w:cs="仿宋_GB2312"/>
          <w:color w:val="000000" w:themeColor="text1"/>
          <w:sz w:val="28"/>
          <w:szCs w:val="28"/>
          <w14:textFill>
            <w14:solidFill>
              <w14:schemeClr w14:val="tx1"/>
            </w14:solidFill>
          </w14:textFill>
        </w:rPr>
        <w:t>次（含3</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次）的，甲方有权解除合同。</w:t>
      </w:r>
    </w:p>
    <w:p>
      <w:pPr>
        <w:tabs>
          <w:tab w:val="left" w:pos="851"/>
        </w:tabs>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5.10乙方对合同工程的安全施工负责，应及时、如实报告生产安全事故。乙方违反本合同规定或由于乙方原因造成的安全事故的，由乙方承担相应责任和费用，工期不予顺延。甲方根据法定部门认定的事故等级，追究乙方相应的违约赔偿责任。</w:t>
      </w:r>
    </w:p>
    <w:p>
      <w:pPr>
        <w:pStyle w:val="51"/>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5.11乙方负责做好现场文明施工、安全围蔽及防护措施等工作，根据项目实际，充分辨识风险和制定相应管控措施，编制可行的专项施工方案应急预案并严格落实,并报甲方备案。</w:t>
      </w:r>
    </w:p>
    <w:p>
      <w:pPr>
        <w:pStyle w:val="14"/>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5.12施工过程中，乙方应负责配备现场的应急物资。具体应急物资配备详见附件应急救援物资清单。如发现配备不齐全，</w:t>
      </w:r>
      <w:r>
        <w:rPr>
          <w:rFonts w:hint="eastAsia" w:ascii="仿宋_GB2312" w:hAnsi="仿宋_GB2312" w:eastAsia="仿宋_GB2312" w:cs="仿宋_GB2312"/>
          <w:sz w:val="28"/>
          <w:szCs w:val="28"/>
        </w:rPr>
        <w:t>甲方有权要求乙方在24小时内补足，否则甲方有权要求乙方支付违约金</w:t>
      </w:r>
      <w:r>
        <w:rPr>
          <w:rFonts w:hint="eastAsia" w:ascii="仿宋_GB2312" w:hAnsi="仿宋_GB2312" w:eastAsia="仿宋_GB2312" w:cs="仿宋_GB2312"/>
          <w:sz w:val="28"/>
          <w:szCs w:val="28"/>
          <w:u w:val="single"/>
        </w:rPr>
        <w:t>1000元</w:t>
      </w:r>
      <w:r>
        <w:rPr>
          <w:rFonts w:hint="eastAsia" w:ascii="仿宋_GB2312" w:hAnsi="仿宋_GB2312" w:eastAsia="仿宋_GB2312" w:cs="仿宋_GB2312"/>
          <w:sz w:val="28"/>
          <w:szCs w:val="28"/>
        </w:rPr>
        <w:t>/天，逾期</w:t>
      </w:r>
      <w:r>
        <w:rPr>
          <w:rFonts w:hint="eastAsia" w:ascii="仿宋_GB2312" w:hAnsi="仿宋_GB2312" w:eastAsia="仿宋_GB2312" w:cs="仿宋_GB2312"/>
          <w:sz w:val="28"/>
          <w:szCs w:val="28"/>
          <w:u w:val="single"/>
        </w:rPr>
        <w:t>7</w:t>
      </w:r>
      <w:r>
        <w:rPr>
          <w:rFonts w:hint="eastAsia" w:ascii="仿宋_GB2312" w:hAnsi="仿宋_GB2312" w:eastAsia="仿宋_GB2312" w:cs="仿宋_GB2312"/>
          <w:sz w:val="28"/>
          <w:szCs w:val="28"/>
        </w:rPr>
        <w:t>日，甲方有权自行购买配备齐全，相关费用在乙方结算费用中抵扣。</w:t>
      </w:r>
      <w:r>
        <w:rPr>
          <w:rFonts w:hint="eastAsia" w:ascii="仿宋_GB2312" w:hAnsi="仿宋_GB2312" w:eastAsia="仿宋_GB2312" w:cs="仿宋_GB2312"/>
          <w:color w:val="000000" w:themeColor="text1"/>
          <w:sz w:val="28"/>
          <w:szCs w:val="28"/>
          <w14:textFill>
            <w14:solidFill>
              <w14:schemeClr w14:val="tx1"/>
            </w14:solidFill>
          </w14:textFill>
        </w:rPr>
        <w:t>（如需）</w:t>
      </w:r>
    </w:p>
    <w:p>
      <w:pPr>
        <w:pStyle w:val="24"/>
        <w:adjustRightInd/>
        <w:snapToGrid/>
        <w:spacing w:line="560" w:lineRule="exact"/>
        <w:ind w:firstLine="560" w:firstLineChars="200"/>
        <w:textAlignment w:val="auto"/>
        <w:rPr>
          <w:rFonts w:hint="eastAsia" w:ascii="仿宋_GB2312" w:hAnsi="仿宋_GB2312" w:eastAsia="仿宋_GB2312" w:cs="仿宋_GB2312"/>
          <w:bCs/>
          <w:color w:val="auto"/>
          <w:sz w:val="28"/>
          <w:szCs w:val="28"/>
        </w:rPr>
      </w:pPr>
      <w:r>
        <w:rPr>
          <w:rFonts w:hint="eastAsia" w:ascii="仿宋_GB2312" w:hAnsi="仿宋_GB2312" w:eastAsia="仿宋_GB2312" w:cs="仿宋_GB2312"/>
          <w:bCs/>
          <w:color w:val="auto"/>
          <w:sz w:val="28"/>
          <w:szCs w:val="28"/>
        </w:rPr>
        <w:t xml:space="preserve">5.13项目实施过程中，乙方应确保准时足额支付工人工资。如因工人工资造成的纠纷，由乙方承担责任。若因乙方拖欠工人工资引发工人聚众讨薪、群体性示威、游行、上访等事件的，甲方有权按讨薪人员 </w:t>
      </w:r>
      <w:r>
        <w:rPr>
          <w:rFonts w:hint="eastAsia" w:hAnsi="仿宋_GB2312" w:cs="仿宋_GB2312"/>
          <w:bCs/>
          <w:color w:val="auto"/>
          <w:sz w:val="28"/>
          <w:szCs w:val="28"/>
        </w:rPr>
        <w:t>1000</w:t>
      </w:r>
      <w:r>
        <w:rPr>
          <w:rFonts w:hint="eastAsia" w:ascii="仿宋_GB2312" w:hAnsi="仿宋_GB2312" w:eastAsia="仿宋_GB2312" w:cs="仿宋_GB2312"/>
          <w:bCs/>
          <w:color w:val="auto"/>
          <w:sz w:val="28"/>
          <w:szCs w:val="28"/>
        </w:rPr>
        <w:t>元/人次的标准要求乙方支付违约金。</w:t>
      </w:r>
    </w:p>
    <w:p>
      <w:pPr>
        <w:pStyle w:val="24"/>
        <w:adjustRightInd/>
        <w:snapToGrid/>
        <w:spacing w:line="560" w:lineRule="exact"/>
        <w:ind w:firstLine="560" w:firstLineChars="200"/>
        <w:rPr>
          <w:rFonts w:hint="eastAsia" w:ascii="仿宋_GB2312" w:hAnsi="仿宋_GB2312" w:eastAsia="仿宋_GB2312" w:cs="仿宋_GB2312"/>
          <w:bCs/>
          <w:color w:val="auto"/>
          <w:sz w:val="28"/>
          <w:szCs w:val="28"/>
          <w:u w:val="single"/>
        </w:rPr>
      </w:pPr>
      <w:r>
        <w:rPr>
          <w:rFonts w:hint="eastAsia" w:ascii="仿宋_GB2312" w:hAnsi="仿宋_GB2312" w:eastAsia="仿宋_GB2312" w:cs="仿宋_GB2312"/>
          <w:bCs/>
          <w:color w:val="auto"/>
          <w:sz w:val="28"/>
          <w:szCs w:val="28"/>
        </w:rPr>
        <w:t>5.14</w:t>
      </w:r>
      <w:r>
        <w:rPr>
          <w:rFonts w:hint="eastAsia" w:ascii="仿宋_GB2312" w:hAnsi="仿宋_GB2312" w:eastAsia="仿宋_GB2312" w:cs="仿宋_GB2312"/>
          <w:bCs/>
          <w:color w:val="auto"/>
          <w:sz w:val="28"/>
          <w:szCs w:val="28"/>
          <w:shd w:val="clear" w:color="auto" w:fill="FFFFFF"/>
        </w:rPr>
        <w:t>甲方提供予乙方的</w:t>
      </w:r>
      <w:r>
        <w:rPr>
          <w:rFonts w:hint="eastAsia" w:ascii="仿宋_GB2312" w:hAnsi="仿宋_GB2312" w:eastAsia="仿宋_GB2312" w:cs="仿宋_GB2312"/>
          <w:bCs/>
          <w:color w:val="auto"/>
          <w:sz w:val="28"/>
          <w:szCs w:val="28"/>
        </w:rPr>
        <w:t>工程相关信息</w:t>
      </w:r>
      <w:r>
        <w:rPr>
          <w:rFonts w:hint="eastAsia" w:ascii="仿宋_GB2312" w:hAnsi="仿宋_GB2312" w:eastAsia="仿宋_GB2312" w:cs="仿宋_GB2312"/>
          <w:bCs/>
          <w:color w:val="auto"/>
          <w:sz w:val="28"/>
          <w:szCs w:val="28"/>
          <w:shd w:val="clear" w:color="auto" w:fill="FFFFFF"/>
        </w:rPr>
        <w:t>被视为保密资料，</w:t>
      </w:r>
      <w:r>
        <w:rPr>
          <w:rFonts w:hint="eastAsia" w:ascii="仿宋_GB2312" w:hAnsi="仿宋_GB2312" w:eastAsia="仿宋_GB2312" w:cs="仿宋_GB2312"/>
          <w:bCs/>
          <w:color w:val="auto"/>
          <w:sz w:val="28"/>
          <w:szCs w:val="28"/>
        </w:rPr>
        <w:t>仅</w:t>
      </w:r>
      <w:r>
        <w:rPr>
          <w:rFonts w:hint="eastAsia" w:ascii="仿宋_GB2312" w:hAnsi="仿宋_GB2312" w:eastAsia="仿宋_GB2312" w:cs="仿宋_GB2312"/>
          <w:bCs/>
          <w:color w:val="auto"/>
          <w:sz w:val="28"/>
          <w:szCs w:val="28"/>
          <w:shd w:val="clear" w:color="auto" w:fill="FFFFFF"/>
        </w:rPr>
        <w:t>供乙方与本项目有关之用途。乙方应对甲方提供的信息资料严格保密，未经甲方书面同意，不得向任何第三方透露</w:t>
      </w:r>
      <w:r>
        <w:rPr>
          <w:rFonts w:hint="eastAsia" w:ascii="仿宋_GB2312" w:hAnsi="仿宋_GB2312" w:eastAsia="仿宋_GB2312" w:cs="仿宋_GB2312"/>
          <w:bCs/>
          <w:color w:val="auto"/>
          <w:sz w:val="28"/>
          <w:szCs w:val="28"/>
        </w:rPr>
        <w:t>或用于其他目的及用途</w:t>
      </w:r>
      <w:r>
        <w:rPr>
          <w:rFonts w:hint="eastAsia" w:ascii="仿宋_GB2312" w:hAnsi="仿宋_GB2312" w:eastAsia="仿宋_GB2312" w:cs="仿宋_GB2312"/>
          <w:bCs/>
          <w:color w:val="auto"/>
          <w:sz w:val="28"/>
          <w:szCs w:val="28"/>
          <w:shd w:val="clear" w:color="auto" w:fill="FFFFFF"/>
        </w:rPr>
        <w:t>，否则甲方有权单方解除合同，并按合同</w:t>
      </w:r>
      <w:r>
        <w:rPr>
          <w:rFonts w:hint="eastAsia" w:ascii="仿宋_GB2312" w:hAnsi="仿宋_GB2312" w:eastAsia="仿宋_GB2312" w:cs="仿宋_GB2312"/>
          <w:bCs/>
          <w:color w:val="auto"/>
          <w:sz w:val="28"/>
          <w:szCs w:val="28"/>
        </w:rPr>
        <w:t>暂定总价</w:t>
      </w:r>
      <w:r>
        <w:rPr>
          <w:rFonts w:hint="eastAsia" w:ascii="仿宋_GB2312" w:hAnsi="仿宋_GB2312" w:eastAsia="仿宋_GB2312" w:cs="仿宋_GB2312"/>
          <w:bCs/>
          <w:color w:val="auto"/>
          <w:sz w:val="28"/>
          <w:szCs w:val="28"/>
          <w:shd w:val="clear" w:color="auto" w:fill="FFFFFF"/>
        </w:rPr>
        <w:t>的</w:t>
      </w:r>
      <w:r>
        <w:rPr>
          <w:rFonts w:hint="eastAsia" w:ascii="仿宋_GB2312" w:hAnsi="仿宋_GB2312" w:eastAsia="仿宋_GB2312" w:cs="仿宋_GB2312"/>
          <w:bCs/>
          <w:color w:val="auto"/>
          <w:sz w:val="28"/>
          <w:szCs w:val="28"/>
        </w:rPr>
        <w:t>20</w:t>
      </w:r>
      <w:r>
        <w:rPr>
          <w:rFonts w:hint="eastAsia" w:ascii="仿宋_GB2312" w:hAnsi="仿宋_GB2312" w:eastAsia="仿宋_GB2312" w:cs="仿宋_GB2312"/>
          <w:bCs/>
          <w:color w:val="auto"/>
          <w:sz w:val="28"/>
          <w:szCs w:val="28"/>
          <w:shd w:val="clear" w:color="auto" w:fill="FFFFFF"/>
        </w:rPr>
        <w:t>%支付违约金</w:t>
      </w:r>
      <w:r>
        <w:rPr>
          <w:rFonts w:hint="eastAsia" w:ascii="仿宋_GB2312" w:hAnsi="仿宋_GB2312" w:eastAsia="仿宋_GB2312" w:cs="仿宋_GB2312"/>
          <w:bCs/>
          <w:color w:val="auto"/>
          <w:sz w:val="28"/>
          <w:szCs w:val="28"/>
        </w:rPr>
        <w:t>。</w:t>
      </w:r>
    </w:p>
    <w:p>
      <w:pPr>
        <w:pStyle w:val="24"/>
        <w:adjustRightInd/>
        <w:snapToGrid/>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auto"/>
          <w:sz w:val="28"/>
          <w:szCs w:val="28"/>
        </w:rPr>
        <w:t>5.15乙方不得散播与本工程项目相关的不实信息，否则，甲方有权单方解除合同，并按</w:t>
      </w:r>
      <w:r>
        <w:rPr>
          <w:rFonts w:hint="eastAsia" w:ascii="仿宋_GB2312" w:hAnsi="仿宋_GB2312" w:eastAsia="仿宋_GB2312" w:cs="仿宋_GB2312"/>
          <w:bCs/>
          <w:color w:val="auto"/>
          <w:sz w:val="28"/>
          <w:szCs w:val="28"/>
          <w:u w:val="single"/>
        </w:rPr>
        <w:t>合同暂定总价的20 %</w:t>
      </w:r>
      <w:r>
        <w:rPr>
          <w:rFonts w:hint="eastAsia" w:ascii="仿宋_GB2312" w:hAnsi="仿宋_GB2312" w:eastAsia="仿宋_GB2312" w:cs="仿宋_GB2312"/>
          <w:bCs/>
          <w:color w:val="auto"/>
          <w:sz w:val="28"/>
          <w:szCs w:val="28"/>
        </w:rPr>
        <w:t>支付违约金。</w:t>
      </w:r>
      <w:r>
        <w:rPr>
          <w:rFonts w:hint="eastAsia" w:ascii="仿宋_GB2312" w:hAnsi="仿宋_GB2312" w:eastAsia="仿宋_GB2312" w:cs="仿宋_GB2312"/>
          <w:bCs/>
          <w:color w:val="auto"/>
          <w:sz w:val="28"/>
          <w:szCs w:val="28"/>
          <w:u w:val="single"/>
          <w:shd w:val="clear" w:color="auto" w:fill="FFFFFF"/>
        </w:rPr>
        <w:br w:type="textWrapping"/>
      </w:r>
      <w:r>
        <w:rPr>
          <w:rFonts w:hint="eastAsia" w:ascii="仿宋_GB2312" w:hAnsi="仿宋_GB2312" w:eastAsia="仿宋_GB2312" w:cs="仿宋_GB2312"/>
          <w:bCs/>
          <w:color w:val="auto"/>
          <w:sz w:val="28"/>
          <w:szCs w:val="28"/>
        </w:rPr>
        <w:t xml:space="preserve">    5.16乙方不履行合同义务、或履行合同义务不符合合同约定、或违反国家、省、市行</w:t>
      </w:r>
      <w:r>
        <w:rPr>
          <w:rFonts w:hint="eastAsia" w:ascii="仿宋_GB2312" w:hAnsi="仿宋_GB2312" w:eastAsia="仿宋_GB2312" w:cs="仿宋_GB2312"/>
          <w:bCs/>
          <w:color w:val="000000" w:themeColor="text1"/>
          <w:sz w:val="28"/>
          <w:szCs w:val="28"/>
          <w14:textFill>
            <w14:solidFill>
              <w14:schemeClr w14:val="tx1"/>
            </w14:solidFill>
          </w14:textFill>
        </w:rPr>
        <w:t>业标准的，甲方有权要求乙方限期整改。乙方逾期未完成整改的，每项每超过1日支付违约金人民币</w:t>
      </w:r>
      <w:r>
        <w:rPr>
          <w:rFonts w:hint="eastAsia" w:ascii="仿宋_GB2312" w:hAnsi="仿宋_GB2312" w:eastAsia="仿宋_GB2312" w:cs="仿宋_GB2312"/>
          <w:bCs/>
          <w:color w:val="000000" w:themeColor="text1"/>
          <w:sz w:val="28"/>
          <w:szCs w:val="28"/>
          <w:u w:val="single"/>
          <w14:textFill>
            <w14:solidFill>
              <w14:schemeClr w14:val="tx1"/>
            </w14:solidFill>
          </w14:textFill>
        </w:rPr>
        <w:t>1万元</w:t>
      </w:r>
      <w:r>
        <w:rPr>
          <w:rFonts w:hint="eastAsia" w:ascii="仿宋_GB2312" w:hAnsi="仿宋_GB2312" w:eastAsia="仿宋_GB2312" w:cs="仿宋_GB2312"/>
          <w:bCs/>
          <w:color w:val="000000" w:themeColor="text1"/>
          <w:sz w:val="28"/>
          <w:szCs w:val="28"/>
          <w14:textFill>
            <w14:solidFill>
              <w14:schemeClr w14:val="tx1"/>
            </w14:solidFill>
          </w14:textFill>
        </w:rPr>
        <w:t>，超过_</w:t>
      </w:r>
      <w:r>
        <w:rPr>
          <w:rFonts w:hint="eastAsia" w:hAnsi="仿宋_GB2312" w:cs="仿宋_GB2312"/>
          <w:bCs/>
          <w:color w:val="000000" w:themeColor="text1"/>
          <w:sz w:val="28"/>
          <w:szCs w:val="28"/>
          <w:u w:val="single"/>
          <w14:textFill>
            <w14:solidFill>
              <w14:schemeClr w14:val="tx1"/>
            </w14:solidFill>
          </w14:textFill>
        </w:rPr>
        <w:t>7</w:t>
      </w:r>
      <w:r>
        <w:rPr>
          <w:rFonts w:hint="eastAsia" w:ascii="仿宋_GB2312" w:hAnsi="仿宋_GB2312" w:eastAsia="仿宋_GB2312" w:cs="仿宋_GB2312"/>
          <w:bCs/>
          <w:color w:val="000000" w:themeColor="text1"/>
          <w:sz w:val="28"/>
          <w:szCs w:val="28"/>
          <w14:textFill>
            <w14:solidFill>
              <w14:schemeClr w14:val="tx1"/>
            </w14:solidFill>
          </w14:textFill>
        </w:rPr>
        <w:t>日，甲方有权解除合同并要求乙方支付</w:t>
      </w:r>
      <w:r>
        <w:rPr>
          <w:rFonts w:hint="eastAsia" w:ascii="仿宋_GB2312" w:hAnsi="仿宋_GB2312" w:eastAsia="仿宋_GB2312" w:cs="仿宋_GB2312"/>
          <w:bCs/>
          <w:color w:val="auto"/>
          <w:sz w:val="28"/>
          <w:szCs w:val="28"/>
          <w:u w:val="single"/>
        </w:rPr>
        <w:t>合同暂定总价的20%/</w:t>
      </w:r>
      <w:r>
        <w:rPr>
          <w:rFonts w:hint="eastAsia" w:ascii="仿宋_GB2312" w:hAnsi="仿宋_GB2312" w:eastAsia="仿宋_GB2312" w:cs="仿宋_GB2312"/>
          <w:color w:val="auto"/>
          <w:sz w:val="28"/>
          <w:szCs w:val="28"/>
          <w:u w:val="single"/>
        </w:rPr>
        <w:t>子项目</w:t>
      </w:r>
      <w:r>
        <w:rPr>
          <w:rFonts w:hint="eastAsia" w:ascii="仿宋_GB2312" w:hAnsi="仿宋_GB2312" w:eastAsia="仿宋_GB2312" w:cs="仿宋_GB2312"/>
          <w:bCs/>
          <w:color w:val="auto"/>
          <w:sz w:val="28"/>
          <w:szCs w:val="28"/>
          <w:u w:val="single"/>
        </w:rPr>
        <w:t>合同暂定总价的20%/经甲方审核子项预算价20%</w:t>
      </w:r>
      <w:r>
        <w:rPr>
          <w:rFonts w:hint="eastAsia" w:ascii="仿宋_GB2312" w:hAnsi="仿宋_GB2312" w:eastAsia="仿宋_GB2312" w:cs="仿宋_GB2312"/>
          <w:bCs/>
          <w:color w:val="000000" w:themeColor="text1"/>
          <w:sz w:val="28"/>
          <w:szCs w:val="28"/>
          <w14:textFill>
            <w14:solidFill>
              <w14:schemeClr w14:val="tx1"/>
            </w14:solidFill>
          </w14:textFill>
        </w:rPr>
        <w:t>作为违约金（</w:t>
      </w:r>
      <w:r>
        <w:rPr>
          <w:rFonts w:hint="eastAsia" w:ascii="仿宋_GB2312" w:hAnsi="仿宋_GB2312" w:eastAsia="仿宋_GB2312" w:cs="仿宋_GB2312"/>
          <w:color w:val="000000" w:themeColor="text1"/>
          <w:sz w:val="28"/>
          <w:szCs w:val="28"/>
          <w14:textFill>
            <w14:solidFill>
              <w14:schemeClr w14:val="tx1"/>
            </w14:solidFill>
          </w14:textFill>
        </w:rPr>
        <w:t>如合同另行约定违约责任，从其约定</w:t>
      </w:r>
      <w:r>
        <w:rPr>
          <w:rFonts w:hint="eastAsia" w:ascii="仿宋_GB2312" w:hAnsi="仿宋_GB2312" w:eastAsia="仿宋_GB2312" w:cs="仿宋_GB2312"/>
          <w:bCs/>
          <w:color w:val="000000" w:themeColor="text1"/>
          <w:sz w:val="28"/>
          <w:szCs w:val="28"/>
          <w14:textFill>
            <w14:solidFill>
              <w14:schemeClr w14:val="tx1"/>
            </w14:solidFill>
          </w14:textFill>
        </w:rPr>
        <w:t>）。</w:t>
      </w:r>
    </w:p>
    <w:p>
      <w:pPr>
        <w:pStyle w:val="24"/>
        <w:adjustRightInd/>
        <w:snapToGrid/>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5.17在合同有效期内，若乙方发生不履约行为情形的，乙方自愿接受甲方按《广州市净水有限公司经营建设项目参建企业不履约评价管理办法（试行）》处理。具体处理标准详见附件。</w:t>
      </w:r>
    </w:p>
    <w:p>
      <w:pPr>
        <w:pStyle w:val="24"/>
        <w:adjustRightInd/>
        <w:snapToGrid/>
        <w:spacing w:line="560" w:lineRule="exact"/>
        <w:ind w:firstLine="560" w:firstLineChars="200"/>
        <w:rPr>
          <w:rFonts w:hint="eastAsia"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5.18当设备发生突发故障时，在接到甲方通知后应提供紧急抢修服务，并在24小时内安排人员到达现场处理，原则上应于24小时内恢复设备的正常运行。</w:t>
      </w:r>
    </w:p>
    <w:p>
      <w:pPr>
        <w:tabs>
          <w:tab w:val="left" w:pos="851"/>
        </w:tabs>
        <w:spacing w:line="560" w:lineRule="exact"/>
        <w:ind w:firstLine="560" w:firstLineChars="200"/>
        <w:jc w:val="left"/>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5.19如合同服务期内清洗及建设服务累计总额达到合同暂定总价时，合同提前终止。甲方有权提前终止合同，但需提前一个月以书面形式通知乙方。</w:t>
      </w:r>
    </w:p>
    <w:p>
      <w:pPr>
        <w:pStyle w:val="2"/>
        <w:rPr>
          <w:rFonts w:hint="default" w:eastAsia="仿宋_GB2312"/>
          <w:lang w:val="en-US" w:eastAsia="zh-CN"/>
        </w:rPr>
      </w:pPr>
      <w:r>
        <w:rPr>
          <w:rFonts w:hint="eastAsia" w:ascii="仿宋_GB2312" w:hAnsi="仿宋_GB2312" w:cs="仿宋_GB2312"/>
          <w:bCs/>
          <w:color w:val="000000" w:themeColor="text1"/>
          <w:sz w:val="28"/>
          <w:szCs w:val="28"/>
          <w:lang w:val="en-US" w:eastAsia="zh-CN"/>
          <w14:textFill>
            <w14:solidFill>
              <w14:schemeClr w14:val="tx1"/>
            </w14:solidFill>
          </w14:textFill>
        </w:rPr>
        <w:t xml:space="preserve">    5.20如乙方提供的资料弄虚作假或</w:t>
      </w:r>
      <w:r>
        <w:rPr>
          <w:rFonts w:hint="eastAsia" w:ascii="仿宋_GB2312" w:hAnsi="仿宋_GB2312" w:cs="仿宋_GB2312"/>
          <w:bCs/>
          <w:color w:val="000000" w:themeColor="text1"/>
          <w:sz w:val="28"/>
          <w:szCs w:val="28"/>
          <w:u w:val="single"/>
          <w:lang w:val="en-US" w:eastAsia="zh-CN"/>
          <w14:textFill>
            <w14:solidFill>
              <w14:schemeClr w14:val="tx1"/>
            </w14:solidFill>
          </w14:textFill>
        </w:rPr>
        <w:t>违反投标/响应承诺</w:t>
      </w:r>
      <w:r>
        <w:rPr>
          <w:rFonts w:hint="eastAsia" w:ascii="仿宋_GB2312" w:hAnsi="仿宋_GB2312" w:cs="仿宋_GB2312"/>
          <w:bCs/>
          <w:color w:val="000000" w:themeColor="text1"/>
          <w:sz w:val="28"/>
          <w:szCs w:val="28"/>
          <w:lang w:val="en-US" w:eastAsia="zh-CN"/>
          <w14:textFill>
            <w14:solidFill>
              <w14:schemeClr w14:val="tx1"/>
            </w14:solidFill>
          </w14:textFill>
        </w:rPr>
        <w:t>的，甲方可以单方解除合同的条款。</w:t>
      </w:r>
    </w:p>
    <w:p>
      <w:pPr>
        <w:tabs>
          <w:tab w:val="left" w:pos="851"/>
        </w:tabs>
        <w:spacing w:line="560" w:lineRule="exact"/>
        <w:ind w:firstLine="562" w:firstLineChars="200"/>
        <w:jc w:val="left"/>
        <w:rPr>
          <w:rFonts w:hint="eastAsia"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第六条 实施条件及管理要求</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6.1甲方提供临时设施及材料实施场地，乙方确认在签订合同前已查看过甲方所提供的场地及周围的环境，掌握所有与项目实施有关或对项目实施有影响的情况，乙方进场后因场地因素所产生的后果均由乙方负责。</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6.2施工用水用电采用以下</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（3）  </w:t>
      </w:r>
      <w:r>
        <w:rPr>
          <w:rFonts w:hint="eastAsia" w:ascii="仿宋_GB2312" w:hAnsi="仿宋_GB2312" w:eastAsia="仿宋_GB2312" w:cs="仿宋_GB2312"/>
          <w:color w:val="000000" w:themeColor="text1"/>
          <w:sz w:val="28"/>
          <w:szCs w:val="28"/>
          <w14:textFill>
            <w14:solidFill>
              <w14:schemeClr w14:val="tx1"/>
            </w14:solidFill>
          </w14:textFill>
        </w:rPr>
        <w:t>方式执行。</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（1）由甲方提供施工用水用电接口，水电费按合同综合单价水电含量计算，从甲方支付的工程款中直接扣回。</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（2）由甲方提供施工用水用电接口，费用按</w:t>
      </w:r>
      <w:r>
        <w:rPr>
          <w:rFonts w:hint="eastAsia" w:ascii="仿宋_GB2312" w:hAnsi="仿宋_GB2312" w:eastAsia="仿宋_GB2312" w:cs="仿宋_GB2312"/>
          <w:color w:val="000000" w:themeColor="text1"/>
          <w:sz w:val="28"/>
          <w:szCs w:val="28"/>
          <w:u w:val="single"/>
          <w14:textFill>
            <w14:solidFill>
              <w14:schemeClr w14:val="tx1"/>
            </w14:solidFill>
          </w14:textFill>
        </w:rPr>
        <w:t>（月/项目）</w:t>
      </w:r>
      <w:r>
        <w:rPr>
          <w:rFonts w:hint="eastAsia" w:ascii="仿宋_GB2312" w:hAnsi="仿宋_GB2312" w:eastAsia="仿宋_GB2312" w:cs="仿宋_GB2312"/>
          <w:color w:val="000000" w:themeColor="text1"/>
          <w:sz w:val="28"/>
          <w:szCs w:val="28"/>
          <w14:textFill>
            <w14:solidFill>
              <w14:schemeClr w14:val="tx1"/>
            </w14:solidFill>
          </w14:textFill>
        </w:rPr>
        <w:t>结算，由乙方向甲方或甲方下辖分公司/子公司支付。水电费用按</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综合单价水电</w:t>
      </w:r>
      <w:r>
        <w:rPr>
          <w:rFonts w:hint="eastAsia" w:ascii="仿宋_GB2312" w:hAnsi="仿宋_GB2312" w:eastAsia="仿宋_GB2312" w:cs="仿宋_GB2312"/>
          <w:color w:val="000000" w:themeColor="text1"/>
          <w:sz w:val="28"/>
          <w:szCs w:val="28"/>
          <w14:textFill>
            <w14:solidFill>
              <w14:schemeClr w14:val="tx1"/>
            </w14:solidFill>
          </w14:textFill>
        </w:rPr>
        <w:t>标准，按实计算。</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（3）由乙方自行负责。</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6.3施工时间安排：上午7：00-12：00，下午14：00-18：00，施工时间如需变动，以甲方的通知为准。</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6.4进场施工人员必须严格遵守</w:t>
      </w:r>
      <w:r>
        <w:rPr>
          <w:rFonts w:hint="eastAsia" w:ascii="仿宋_GB2312" w:hAnsi="仿宋_GB2312" w:eastAsia="仿宋_GB2312" w:cs="仿宋_GB2312"/>
          <w:color w:val="000000" w:themeColor="text1"/>
          <w:kern w:val="10"/>
          <w:sz w:val="28"/>
          <w:szCs w:val="28"/>
          <w14:textFill>
            <w14:solidFill>
              <w14:schemeClr w14:val="tx1"/>
            </w14:solidFill>
          </w14:textFill>
        </w:rPr>
        <w:t>污水处理厂</w:t>
      </w:r>
      <w:r>
        <w:rPr>
          <w:rFonts w:hint="eastAsia" w:ascii="仿宋_GB2312" w:hAnsi="仿宋_GB2312" w:eastAsia="仿宋_GB2312" w:cs="仿宋_GB2312"/>
          <w:color w:val="000000" w:themeColor="text1"/>
          <w:sz w:val="28"/>
          <w:szCs w:val="28"/>
          <w14:textFill>
            <w14:solidFill>
              <w14:schemeClr w14:val="tx1"/>
            </w14:solidFill>
          </w14:textFill>
        </w:rPr>
        <w:t>一切规章制度。进入施工现场人员必须佩戴出入证，并自觉接受门岗检查。</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6.5环境保护要求：</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（1）做好施工噪声、废气、废水等控制；</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（2）按照国家及广州市相关规定做好建筑垃圾的处理。</w:t>
      </w:r>
    </w:p>
    <w:p>
      <w:pPr>
        <w:tabs>
          <w:tab w:val="left" w:pos="851"/>
        </w:tabs>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6.6按相关法律法规及甲方相关作业施工管理要求执行。</w:t>
      </w:r>
    </w:p>
    <w:p>
      <w:pPr>
        <w:pStyle w:val="24"/>
        <w:adjustRightInd/>
        <w:snapToGrid/>
        <w:spacing w:line="560" w:lineRule="exact"/>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6.7关于工程签证及变更</w:t>
      </w:r>
    </w:p>
    <w:p>
      <w:pPr>
        <w:pStyle w:val="24"/>
        <w:adjustRightInd/>
        <w:snapToGrid/>
        <w:spacing w:line="560" w:lineRule="exact"/>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6.7.1 合同工程实施过程中如产生签证或变更，均需由甲乙双方、设计单位（如有）、监理单位（如有）协商一致，并以书面形式进行确认（具体流程按照甲方项目实施管理办法执行）。</w:t>
      </w:r>
    </w:p>
    <w:p>
      <w:pPr>
        <w:pStyle w:val="24"/>
        <w:adjustRightInd/>
        <w:snapToGrid/>
        <w:spacing w:line="560" w:lineRule="exact"/>
        <w:textAlignment w:val="auto"/>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6.7.2任何未经确认的签证或变更，甲方不予确认支付。乙方自行承担所发生的费用及返工责任。</w:t>
      </w:r>
    </w:p>
    <w:p>
      <w:pPr>
        <w:pStyle w:val="14"/>
        <w:spacing w:line="560" w:lineRule="exact"/>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第七条 材料及设备供应</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本项目承包范围内所需的设备材料、成品、未成品、运输、保管、质量等责任均由乙方承担。甲方不提供材料。</w:t>
      </w:r>
    </w:p>
    <w:p>
      <w:pPr>
        <w:spacing w:line="560" w:lineRule="exact"/>
        <w:ind w:left="-2" w:leftChars="-1"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7.1采购供应的材料、其名称、品种、型号、规格、质量等，均应符合国家、地方及行业有关规范及要求。</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7.2所有材料必须具备合格证明，并保证产品的有效性。</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7.3由于乙方提供的伪劣、假冒等所有不合格材料而导致的损失、事故及一切后果，均由乙方负责并赔偿甲方所有损失，并负责更换所有已施工的不合格材料。</w:t>
      </w:r>
    </w:p>
    <w:p>
      <w:pPr>
        <w:tabs>
          <w:tab w:val="left" w:pos="360"/>
        </w:tabs>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7.4乙方必须根据投标文件/询价响应文件（如有）上主要材料的明细（包括厂家、规格、品质等级等）提供材料。工程实施时，如发现材料不一致，甲方有权拒用，造成损失由乙方承担。</w:t>
      </w:r>
    </w:p>
    <w:p>
      <w:pPr>
        <w:tabs>
          <w:tab w:val="left" w:pos="360"/>
        </w:tabs>
        <w:spacing w:line="560" w:lineRule="exact"/>
        <w:ind w:firstLine="48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7.5 甲方有权对施工质量进行监督、检查或检验，也可自行委托第三方进行质量检验，甲方或第三方的检验结果作为最终的质量评定结果。</w:t>
      </w:r>
    </w:p>
    <w:p>
      <w:pPr>
        <w:pStyle w:val="24"/>
        <w:spacing w:line="560" w:lineRule="exact"/>
        <w:ind w:firstLine="560" w:firstLineChars="200"/>
        <w:rPr>
          <w:rFonts w:hint="eastAsia" w:hAnsi="仿宋_GB2312" w:eastAsia="仿宋_GB2312" w:cs="仿宋_GB2312"/>
          <w:color w:val="auto"/>
          <w:sz w:val="28"/>
          <w:szCs w:val="28"/>
        </w:rPr>
      </w:pPr>
      <w:r>
        <w:rPr>
          <w:rFonts w:hint="eastAsia" w:ascii="仿宋_GB2312" w:hAnsi="仿宋_GB2312" w:eastAsia="仿宋_GB2312" w:cs="仿宋_GB2312"/>
          <w:color w:val="000000" w:themeColor="text1"/>
          <w:sz w:val="28"/>
          <w:szCs w:val="28"/>
          <w14:textFill>
            <w14:solidFill>
              <w14:schemeClr w14:val="tx1"/>
            </w14:solidFill>
          </w14:textFill>
        </w:rPr>
        <w:t>7.6</w:t>
      </w:r>
      <w:r>
        <w:rPr>
          <w:rFonts w:hint="eastAsia" w:ascii="仿宋_GB2312" w:hAnsi="仿宋_GB2312" w:eastAsia="仿宋_GB2312" w:cs="仿宋_GB2312"/>
          <w:color w:val="auto"/>
          <w:sz w:val="28"/>
          <w:szCs w:val="28"/>
        </w:rPr>
        <w:t>甲方有权对施工材料进行抽样送检，送检不合格的，对乙方处以</w:t>
      </w:r>
      <w:r>
        <w:rPr>
          <w:rFonts w:hint="eastAsia" w:ascii="仿宋_GB2312" w:hAnsi="仿宋_GB2312" w:eastAsia="仿宋_GB2312" w:cs="仿宋_GB2312"/>
          <w:color w:val="auto"/>
          <w:sz w:val="28"/>
          <w:szCs w:val="28"/>
          <w:u w:val="single"/>
        </w:rPr>
        <w:t>该批材料价格的</w:t>
      </w:r>
      <w:r>
        <w:rPr>
          <w:rFonts w:hint="eastAsia" w:hAnsi="仿宋_GB2312" w:cs="仿宋_GB2312"/>
          <w:color w:val="auto"/>
          <w:sz w:val="28"/>
          <w:szCs w:val="28"/>
          <w:u w:val="single"/>
        </w:rPr>
        <w:t>20</w:t>
      </w:r>
      <w:r>
        <w:rPr>
          <w:rFonts w:hint="eastAsia" w:ascii="仿宋_GB2312" w:hAnsi="仿宋_GB2312" w:eastAsia="仿宋_GB2312" w:cs="仿宋_GB2312"/>
          <w:color w:val="auto"/>
          <w:sz w:val="28"/>
          <w:szCs w:val="28"/>
          <w:u w:val="single"/>
        </w:rPr>
        <w:t>%</w:t>
      </w:r>
      <w:r>
        <w:rPr>
          <w:rFonts w:hint="eastAsia" w:ascii="仿宋_GB2312" w:hAnsi="仿宋_GB2312" w:eastAsia="仿宋_GB2312" w:cs="仿宋_GB2312"/>
          <w:color w:val="auto"/>
          <w:sz w:val="28"/>
          <w:szCs w:val="28"/>
        </w:rPr>
        <w:t>的处罚。检测费用先由乙方支付，如果检验结果为不合格，则该费用由乙方承担，如果检验结果为合格，则该费用由甲方承担。</w:t>
      </w:r>
    </w:p>
    <w:p>
      <w:pPr>
        <w:tabs>
          <w:tab w:val="left" w:pos="851"/>
        </w:tabs>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7.7 承包范围之内工程所用之设备，由乙方提供。 </w:t>
      </w:r>
    </w:p>
    <w:p>
      <w:pPr>
        <w:spacing w:line="560" w:lineRule="exact"/>
        <w:ind w:firstLine="562"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第八条 付</w:t>
      </w:r>
      <w:r>
        <w:rPr>
          <w:rFonts w:hint="eastAsia" w:ascii="仿宋_GB2312" w:hAnsi="仿宋_GB2312" w:eastAsia="仿宋_GB2312" w:cs="仿宋_GB2312"/>
          <w:b/>
          <w:color w:val="000000" w:themeColor="text1"/>
          <w:sz w:val="28"/>
          <w:szCs w:val="28"/>
          <w14:textFill>
            <w14:solidFill>
              <w14:schemeClr w14:val="tx1"/>
            </w14:solidFill>
          </w14:textFill>
        </w:rPr>
        <w:t>款及履约担保</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8.1预付款的支付：</w:t>
      </w:r>
      <w:r>
        <w:rPr>
          <w:rFonts w:hint="eastAsia" w:ascii="仿宋_GB2312" w:hAnsi="仿宋_GB2312" w:eastAsia="仿宋_GB2312" w:cs="仿宋_GB2312"/>
          <w:color w:val="000000" w:themeColor="text1"/>
          <w:sz w:val="28"/>
          <w:szCs w:val="28"/>
          <w14:textFill>
            <w14:solidFill>
              <w14:schemeClr w14:val="tx1"/>
            </w14:solidFill>
          </w14:textFill>
        </w:rPr>
        <w:sym w:font="Wingdings" w:char="00FE"/>
      </w:r>
      <w:r>
        <w:rPr>
          <w:rFonts w:hint="eastAsia" w:ascii="仿宋_GB2312" w:hAnsi="仿宋_GB2312" w:eastAsia="仿宋_GB2312" w:cs="仿宋_GB2312"/>
          <w:color w:val="000000" w:themeColor="text1"/>
          <w:sz w:val="28"/>
          <w:szCs w:val="28"/>
          <w14:textFill>
            <w14:solidFill>
              <w14:schemeClr w14:val="tx1"/>
            </w14:solidFill>
          </w14:textFill>
        </w:rPr>
        <w:t>无；</w:t>
      </w:r>
      <w:r>
        <w:rPr>
          <w:rFonts w:hint="eastAsia" w:ascii="仿宋_GB2312" w:hAnsi="仿宋_GB2312" w:eastAsia="仿宋_GB2312" w:cs="仿宋_GB2312"/>
          <w:color w:val="000000" w:themeColor="text1"/>
          <w:sz w:val="28"/>
          <w:szCs w:val="28"/>
          <w14:textFill>
            <w14:solidFill>
              <w14:schemeClr w14:val="tx1"/>
            </w14:solidFill>
          </w14:textFill>
        </w:rPr>
        <w:sym w:font="Wingdings" w:char="00A8"/>
      </w:r>
      <w:r>
        <w:rPr>
          <w:rFonts w:hint="eastAsia" w:ascii="仿宋_GB2312" w:hAnsi="仿宋_GB2312" w:eastAsia="仿宋_GB2312" w:cs="仿宋_GB2312"/>
          <w:color w:val="000000" w:themeColor="text1"/>
          <w:sz w:val="28"/>
          <w:szCs w:val="28"/>
          <w14:textFill>
            <w14:solidFill>
              <w14:schemeClr w14:val="tx1"/>
            </w14:solidFill>
          </w14:textFill>
        </w:rPr>
        <w:t>有,合同签订后，乙方开具等额的增值税专用发票及</w:t>
      </w:r>
      <w:r>
        <w:rPr>
          <w:rFonts w:hint="eastAsia" w:ascii="仿宋_GB2312" w:hAnsi="仿宋_GB2312" w:eastAsia="仿宋_GB2312" w:cs="仿宋_GB2312"/>
          <w:color w:val="000000" w:themeColor="text1"/>
          <w:sz w:val="28"/>
          <w:szCs w:val="28"/>
          <w:u w:val="single"/>
          <w14:textFill>
            <w14:solidFill>
              <w14:schemeClr w14:val="tx1"/>
            </w14:solidFill>
          </w14:textFill>
        </w:rPr>
        <w:t>提交预付款担保（如有）及履约担保（如有）</w:t>
      </w:r>
      <w:r>
        <w:rPr>
          <w:rFonts w:hint="eastAsia" w:ascii="仿宋_GB2312" w:hAnsi="仿宋_GB2312" w:eastAsia="仿宋_GB2312" w:cs="仿宋_GB2312"/>
          <w:color w:val="000000" w:themeColor="text1"/>
          <w:sz w:val="28"/>
          <w:szCs w:val="28"/>
          <w14:textFill>
            <w14:solidFill>
              <w14:schemeClr w14:val="tx1"/>
            </w14:solidFill>
          </w14:textFill>
        </w:rPr>
        <w:t>后</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30 个</w:t>
      </w:r>
      <w:r>
        <w:rPr>
          <w:rFonts w:hint="eastAsia" w:ascii="仿宋_GB2312" w:hAnsi="仿宋_GB2312" w:eastAsia="仿宋_GB2312" w:cs="仿宋_GB2312"/>
          <w:color w:val="000000" w:themeColor="text1"/>
          <w:sz w:val="28"/>
          <w:szCs w:val="28"/>
          <w14:textFill>
            <w14:solidFill>
              <w14:schemeClr w14:val="tx1"/>
            </w14:solidFill>
          </w14:textFill>
        </w:rPr>
        <w:t>工作日内，甲方支付合同暂定总价（不含暂列金）的（不得超过30%）</w:t>
      </w:r>
      <w:r>
        <w:rPr>
          <w:rFonts w:hint="eastAsia" w:ascii="仿宋_GB2312" w:hAnsi="仿宋_GB2312" w:eastAsia="仿宋_GB2312" w:cs="仿宋_GB2312"/>
          <w:color w:val="000000" w:themeColor="text1"/>
          <w:sz w:val="28"/>
          <w:szCs w:val="28"/>
          <w:u w:val="single"/>
          <w14:textFill>
            <w14:solidFill>
              <w14:schemeClr w14:val="tx1"/>
            </w14:solidFill>
          </w14:textFill>
        </w:rPr>
        <w:t>即…元，（大写：…）</w:t>
      </w:r>
      <w:r>
        <w:rPr>
          <w:rFonts w:hint="eastAsia" w:ascii="仿宋_GB2312" w:hAnsi="仿宋_GB2312" w:eastAsia="仿宋_GB2312" w:cs="仿宋_GB2312"/>
          <w:color w:val="000000" w:themeColor="text1"/>
          <w:sz w:val="28"/>
          <w:szCs w:val="28"/>
          <w14:textFill>
            <w14:solidFill>
              <w14:schemeClr w14:val="tx1"/>
            </w14:solidFill>
          </w14:textFill>
        </w:rPr>
        <w:t xml:space="preserve">作为预付款。若合同解除或终止，乙方在 </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5 </w:t>
      </w:r>
      <w:r>
        <w:rPr>
          <w:rFonts w:hint="eastAsia" w:ascii="仿宋_GB2312" w:hAnsi="仿宋_GB2312" w:eastAsia="仿宋_GB2312" w:cs="仿宋_GB2312"/>
          <w:color w:val="000000" w:themeColor="text1"/>
          <w:sz w:val="28"/>
          <w:szCs w:val="28"/>
          <w14:textFill>
            <w14:solidFill>
              <w14:schemeClr w14:val="tx1"/>
            </w14:solidFill>
          </w14:textFill>
        </w:rPr>
        <w:t>个工作日内返还预付款（无息）。逾期未返还，每逾期一天，乙方应按</w:t>
      </w:r>
      <w:r>
        <w:rPr>
          <w:rFonts w:hint="eastAsia" w:ascii="仿宋_GB2312" w:hAnsi="仿宋_GB2312" w:eastAsia="仿宋_GB2312" w:cs="仿宋_GB2312"/>
          <w:color w:val="000000" w:themeColor="text1"/>
          <w:sz w:val="28"/>
          <w:szCs w:val="28"/>
          <w:u w:val="single"/>
          <w14:textFill>
            <w14:solidFill>
              <w14:schemeClr w14:val="tx1"/>
            </w14:solidFill>
          </w14:textFill>
        </w:rPr>
        <w:t>合同暂定总价的万分之五/天</w:t>
      </w:r>
      <w:r>
        <w:rPr>
          <w:rFonts w:hint="eastAsia" w:ascii="仿宋_GB2312" w:hAnsi="仿宋_GB2312" w:eastAsia="仿宋_GB2312" w:cs="仿宋_GB2312"/>
          <w:color w:val="000000" w:themeColor="text1"/>
          <w:sz w:val="28"/>
          <w:szCs w:val="28"/>
          <w14:textFill>
            <w14:solidFill>
              <w14:schemeClr w14:val="tx1"/>
            </w14:solidFill>
          </w14:textFill>
        </w:rPr>
        <w:t>支付违约金。</w:t>
      </w:r>
    </w:p>
    <w:p>
      <w:pPr>
        <w:spacing w:line="560" w:lineRule="exact"/>
        <w:ind w:firstLine="548" w:firstLineChars="200"/>
        <w:rPr>
          <w:rFonts w:hint="eastAsia" w:ascii="仿宋_GB2312" w:hAnsi="仿宋_GB2312" w:eastAsia="仿宋_GB2312" w:cs="仿宋_GB2312"/>
          <w:color w:val="000000" w:themeColor="text1"/>
          <w:spacing w:val="-3"/>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pacing w:val="-3"/>
          <w:sz w:val="28"/>
          <w:szCs w:val="28"/>
          <w:lang w:val="en-US" w:eastAsia="zh-CN"/>
          <w14:textFill>
            <w14:solidFill>
              <w14:schemeClr w14:val="tx1"/>
            </w14:solidFill>
          </w14:textFill>
        </w:rPr>
        <w:t xml:space="preserve">8.2项目/子项项目完工验收合格并提交工人工资结清证明（格式参照附件10）后，由乙方提交申请支付资料 15 个工作日内，甲方支付至实际完成工作量的70％给乙方（含预付款及已支付工人工资）。（如需） </w:t>
      </w:r>
    </w:p>
    <w:p>
      <w:pPr>
        <w:spacing w:line="560" w:lineRule="exact"/>
        <w:ind w:firstLine="548" w:firstLineChars="200"/>
        <w:rPr>
          <w:rFonts w:hint="eastAsia" w:ascii="仿宋_GB2312" w:hAnsi="仿宋_GB2312" w:eastAsia="仿宋_GB2312" w:cs="仿宋_GB2312"/>
          <w:color w:val="000000" w:themeColor="text1"/>
          <w:spacing w:val="-3"/>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pacing w:val="-3"/>
          <w:sz w:val="28"/>
          <w:szCs w:val="28"/>
          <w:lang w:val="en-US" w:eastAsia="zh-CN"/>
          <w14:textFill>
            <w14:solidFill>
              <w14:schemeClr w14:val="tx1"/>
            </w14:solidFill>
          </w14:textFill>
        </w:rPr>
        <w:t xml:space="preserve">8.2.1项目/子项目竣工验收合格后，经甲方或甲方委托有资质第三方机构审核后，由乙方提交申请支付资料 15 个工作日内，甲方支付至合同/子项目结算价的97%(含因乙方未按规定履行合同约定而产生的各种违约金、扣罚金、赔偿金以及应由乙方交纳的各种费用等)。 </w:t>
      </w:r>
    </w:p>
    <w:p>
      <w:pPr>
        <w:spacing w:line="560" w:lineRule="exact"/>
        <w:ind w:firstLine="548" w:firstLineChars="200"/>
        <w:rPr>
          <w:rFonts w:hint="eastAsia" w:ascii="仿宋_GB2312" w:hAnsi="仿宋_GB2312" w:eastAsia="仿宋_GB2312" w:cs="仿宋_GB2312"/>
          <w:color w:val="000000" w:themeColor="text1"/>
          <w:spacing w:val="-3"/>
          <w:sz w:val="28"/>
          <w:szCs w:val="28"/>
          <w14:textFill>
            <w14:solidFill>
              <w14:schemeClr w14:val="tx1"/>
            </w14:solidFill>
          </w14:textFill>
        </w:rPr>
      </w:pPr>
      <w:r>
        <w:rPr>
          <w:rFonts w:hint="eastAsia" w:ascii="仿宋_GB2312" w:hAnsi="仿宋_GB2312" w:eastAsia="仿宋_GB2312" w:cs="仿宋_GB2312"/>
          <w:color w:val="000000" w:themeColor="text1"/>
          <w:spacing w:val="-3"/>
          <w:sz w:val="28"/>
          <w:szCs w:val="28"/>
          <w:lang w:val="en-US" w:eastAsia="zh-CN"/>
          <w14:textFill>
            <w14:solidFill>
              <w14:schemeClr w14:val="tx1"/>
            </w14:solidFill>
          </w14:textFill>
        </w:rPr>
        <w:t xml:space="preserve">8.2.2质保期按合同第十条规定执行，质保期满后且乙方不存在违约情形，由乙方提交申请质保金退还资料 15 个工作日内，甲方支付合同/子项目结算价的3％（质保金）给乙方（无息）。 </w:t>
      </w:r>
    </w:p>
    <w:p>
      <w:pPr>
        <w:spacing w:line="560" w:lineRule="exact"/>
        <w:ind w:firstLine="548"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pacing w:val="-3"/>
          <w:sz w:val="28"/>
          <w:szCs w:val="28"/>
          <w14:textFill>
            <w14:solidFill>
              <w14:schemeClr w14:val="tx1"/>
            </w14:solidFill>
          </w14:textFill>
        </w:rPr>
        <w:t>8.3如出现合同费用超付，乙方应在获知超付之日起</w:t>
      </w:r>
      <w:r>
        <w:rPr>
          <w:rFonts w:hint="eastAsia" w:ascii="仿宋_GB2312" w:hAnsi="仿宋_GB2312" w:eastAsia="仿宋_GB2312" w:cs="仿宋_GB2312"/>
          <w:color w:val="000000" w:themeColor="text1"/>
          <w:spacing w:val="-3"/>
          <w:sz w:val="28"/>
          <w:szCs w:val="28"/>
          <w:u w:val="single"/>
          <w14:textFill>
            <w14:solidFill>
              <w14:schemeClr w14:val="tx1"/>
            </w14:solidFill>
          </w14:textFill>
        </w:rPr>
        <w:t>7个</w:t>
      </w:r>
      <w:r>
        <w:rPr>
          <w:rFonts w:hint="eastAsia" w:ascii="仿宋_GB2312" w:hAnsi="仿宋_GB2312" w:eastAsia="仿宋_GB2312" w:cs="仿宋_GB2312"/>
          <w:color w:val="000000" w:themeColor="text1"/>
          <w:spacing w:val="-3"/>
          <w:sz w:val="28"/>
          <w:szCs w:val="28"/>
          <w14:textFill>
            <w14:solidFill>
              <w14:schemeClr w14:val="tx1"/>
            </w14:solidFill>
          </w14:textFill>
        </w:rPr>
        <w:t>工作日内返还超付款项（无息）。</w:t>
      </w:r>
      <w:r>
        <w:rPr>
          <w:rFonts w:hint="eastAsia" w:ascii="仿宋_GB2312" w:hAnsi="仿宋_GB2312" w:eastAsia="仿宋_GB2312" w:cs="仿宋_GB2312"/>
          <w:color w:val="000000" w:themeColor="text1"/>
          <w:sz w:val="28"/>
          <w:szCs w:val="28"/>
          <w14:textFill>
            <w14:solidFill>
              <w14:schemeClr w14:val="tx1"/>
            </w14:solidFill>
          </w14:textFill>
        </w:rPr>
        <w:t>每逾期一周乙方承担超付款项的</w:t>
      </w:r>
      <w:r>
        <w:rPr>
          <w:rFonts w:hint="eastAsia" w:ascii="仿宋_GB2312" w:hAnsi="仿宋_GB2312" w:eastAsia="仿宋_GB2312" w:cs="仿宋_GB2312"/>
          <w:color w:val="000000" w:themeColor="text1"/>
          <w:sz w:val="28"/>
          <w:szCs w:val="28"/>
          <w:u w:val="single"/>
          <w14:textFill>
            <w14:solidFill>
              <w14:schemeClr w14:val="tx1"/>
            </w14:solidFill>
          </w14:textFill>
        </w:rPr>
        <w:t>1%</w:t>
      </w:r>
      <w:r>
        <w:rPr>
          <w:rFonts w:hint="eastAsia" w:ascii="仿宋_GB2312" w:hAnsi="仿宋_GB2312" w:eastAsia="仿宋_GB2312" w:cs="仿宋_GB2312"/>
          <w:color w:val="000000" w:themeColor="text1"/>
          <w:sz w:val="28"/>
          <w:szCs w:val="28"/>
          <w14:textFill>
            <w14:solidFill>
              <w14:schemeClr w14:val="tx1"/>
            </w14:solidFill>
          </w14:textFill>
        </w:rPr>
        <w:t>的逾期违约金，且支付超付款项相应存款利息。</w:t>
      </w:r>
    </w:p>
    <w:p>
      <w:pPr>
        <w:tabs>
          <w:tab w:val="left" w:pos="851"/>
        </w:tabs>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8.4结算审定价超过合同暂定总价时，暂停合同的工程款支付程序，签订补充协议后支付。</w:t>
      </w:r>
    </w:p>
    <w:p>
      <w:pPr>
        <w:tabs>
          <w:tab w:val="left" w:pos="851"/>
        </w:tabs>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8.5本项目工程款的支付单位为：</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 </w:t>
      </w:r>
    </w:p>
    <w:p>
      <w:pPr>
        <w:spacing w:line="560" w:lineRule="exact"/>
        <w:ind w:firstLine="560" w:firstLineChars="200"/>
        <w:rPr>
          <w:rFonts w:hint="eastAsia"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8.6乙方收款账户：</w:t>
      </w:r>
      <w:r>
        <w:rPr>
          <w:rFonts w:hint="eastAsia" w:ascii="仿宋_GB2312" w:hAnsi="仿宋_GB2312" w:eastAsia="仿宋_GB2312" w:cs="仿宋_GB2312"/>
          <w:color w:val="000000" w:themeColor="text1"/>
          <w:sz w:val="28"/>
          <w:szCs w:val="28"/>
          <w:u w:val="single"/>
          <w14:textFill>
            <w14:solidFill>
              <w14:schemeClr w14:val="tx1"/>
            </w14:solidFill>
          </w14:textFill>
        </w:rPr>
        <w:t>…；</w:t>
      </w:r>
    </w:p>
    <w:p>
      <w:pPr>
        <w:spacing w:line="560" w:lineRule="exact"/>
        <w:ind w:firstLine="560" w:firstLineChars="200"/>
        <w:rPr>
          <w:rFonts w:hint="eastAsia"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收款账号：</w:t>
      </w:r>
      <w:r>
        <w:rPr>
          <w:rFonts w:hint="eastAsia" w:ascii="仿宋_GB2312" w:hAnsi="仿宋_GB2312" w:eastAsia="仿宋_GB2312" w:cs="仿宋_GB2312"/>
          <w:color w:val="000000" w:themeColor="text1"/>
          <w:sz w:val="28"/>
          <w:szCs w:val="28"/>
          <w:u w:val="single"/>
          <w14:textFill>
            <w14:solidFill>
              <w14:schemeClr w14:val="tx1"/>
            </w14:solidFill>
          </w14:textFill>
        </w:rPr>
        <w:t>…；</w:t>
      </w:r>
    </w:p>
    <w:p>
      <w:pPr>
        <w:spacing w:line="560" w:lineRule="exact"/>
        <w:ind w:firstLine="560" w:firstLineChars="200"/>
        <w:rPr>
          <w:rFonts w:hint="eastAsia"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开户行：</w:t>
      </w:r>
      <w:r>
        <w:rPr>
          <w:rFonts w:hint="eastAsia" w:ascii="仿宋_GB2312" w:hAnsi="仿宋_GB2312" w:eastAsia="仿宋_GB2312" w:cs="仿宋_GB2312"/>
          <w:color w:val="000000" w:themeColor="text1"/>
          <w:sz w:val="28"/>
          <w:szCs w:val="28"/>
          <w:u w:val="single"/>
          <w14:textFill>
            <w14:solidFill>
              <w14:schemeClr w14:val="tx1"/>
            </w14:solidFill>
          </w14:textFill>
        </w:rPr>
        <w:t>…；</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8.7乙方提交的发票被作废或红冲的，在乙方更换有效发票前，甲方有权要求退回该发票对应的已支付款项并不再给予支付后续的全部合同款项，由此造成甲方损失的，由乙方承担赔偿责任。增值税专用发票信息：</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p>
    <w:p>
      <w:pPr>
        <w:tabs>
          <w:tab w:val="left" w:pos="851"/>
        </w:tabs>
        <w:spacing w:line="560" w:lineRule="exact"/>
        <w:ind w:firstLine="560" w:firstLineChars="200"/>
        <w:jc w:val="left"/>
        <w:rPr>
          <w:rFonts w:hint="eastAsia"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8.8</w:t>
      </w:r>
      <w:r>
        <w:rPr>
          <w:rFonts w:hint="eastAsia" w:ascii="仿宋_GB2312" w:hAnsi="仿宋_GB2312" w:eastAsia="仿宋_GB2312" w:cs="仿宋_GB2312"/>
          <w:b/>
          <w:color w:val="000000" w:themeColor="text1"/>
          <w:sz w:val="28"/>
          <w:szCs w:val="28"/>
          <w14:textFill>
            <w14:solidFill>
              <w14:schemeClr w14:val="tx1"/>
            </w14:solidFill>
          </w14:textFill>
        </w:rPr>
        <w:t>履约担保及预付款担保</w:t>
      </w:r>
    </w:p>
    <w:p>
      <w:pPr>
        <w:tabs>
          <w:tab w:val="left" w:pos="851"/>
        </w:tabs>
        <w:spacing w:line="560" w:lineRule="exact"/>
        <w:ind w:firstLine="560" w:firstLineChars="200"/>
        <w:jc w:val="left"/>
        <w:rPr>
          <w:rFonts w:hint="eastAsia"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履约担保：</w:t>
      </w:r>
      <w:r>
        <w:rPr>
          <w:rFonts w:hint="eastAsia" w:ascii="仿宋_GB2312" w:hAnsi="仿宋_GB2312" w:eastAsia="仿宋_GB2312" w:cs="仿宋_GB2312"/>
          <w:color w:val="000000" w:themeColor="text1"/>
          <w:sz w:val="28"/>
          <w:szCs w:val="28"/>
          <w14:textFill>
            <w14:solidFill>
              <w14:schemeClr w14:val="tx1"/>
            </w14:solidFill>
          </w14:textFill>
        </w:rPr>
        <w:sym w:font="Wingdings" w:char="00FE"/>
      </w:r>
      <w:r>
        <w:rPr>
          <w:rFonts w:hint="eastAsia" w:ascii="仿宋_GB2312" w:hAnsi="仿宋_GB2312" w:eastAsia="仿宋_GB2312" w:cs="仿宋_GB2312"/>
          <w:bCs/>
          <w:color w:val="000000" w:themeColor="text1"/>
          <w:sz w:val="28"/>
          <w:szCs w:val="28"/>
          <w14:textFill>
            <w14:solidFill>
              <w14:schemeClr w14:val="tx1"/>
            </w14:solidFill>
          </w14:textFill>
        </w:rPr>
        <w:t xml:space="preserve">无；    </w:t>
      </w:r>
      <w:r>
        <w:rPr>
          <w:rFonts w:hint="eastAsia" w:ascii="仿宋_GB2312" w:hAnsi="仿宋_GB2312" w:eastAsia="仿宋_GB2312" w:cs="仿宋_GB2312"/>
          <w:bCs/>
          <w:color w:val="000000" w:themeColor="text1"/>
          <w:sz w:val="28"/>
          <w:szCs w:val="28"/>
          <w14:textFill>
            <w14:solidFill>
              <w14:schemeClr w14:val="tx1"/>
            </w14:solidFill>
          </w14:textFill>
        </w:rPr>
        <w:sym w:font="Wingdings" w:char="00A8"/>
      </w:r>
      <w:r>
        <w:rPr>
          <w:rFonts w:hint="eastAsia" w:ascii="仿宋_GB2312" w:hAnsi="仿宋_GB2312" w:eastAsia="仿宋_GB2312" w:cs="仿宋_GB2312"/>
          <w:bCs/>
          <w:color w:val="000000" w:themeColor="text1"/>
          <w:sz w:val="28"/>
          <w:szCs w:val="28"/>
          <w14:textFill>
            <w14:solidFill>
              <w14:schemeClr w14:val="tx1"/>
            </w14:solidFill>
          </w14:textFill>
        </w:rPr>
        <w:t>有，乙方于</w:t>
      </w:r>
      <w:r>
        <w:rPr>
          <w:rFonts w:hint="eastAsia" w:ascii="仿宋_GB2312" w:hAnsi="仿宋_GB2312" w:eastAsia="仿宋_GB2312" w:cs="仿宋_GB2312"/>
          <w:color w:val="000000" w:themeColor="text1"/>
          <w:sz w:val="28"/>
          <w:szCs w:val="28"/>
          <w14:textFill>
            <w14:solidFill>
              <w14:schemeClr w14:val="tx1"/>
            </w14:solidFill>
          </w14:textFill>
        </w:rPr>
        <w:t>本合同签订后</w:t>
      </w:r>
      <w:r>
        <w:rPr>
          <w:rFonts w:hint="eastAsia" w:ascii="仿宋_GB2312" w:hAnsi="仿宋_GB2312" w:eastAsia="仿宋_GB2312" w:cs="仿宋_GB2312"/>
          <w:color w:val="000000" w:themeColor="text1"/>
          <w:sz w:val="28"/>
          <w:szCs w:val="28"/>
          <w:u w:val="single"/>
          <w14:textFill>
            <w14:solidFill>
              <w14:schemeClr w14:val="tx1"/>
            </w14:solidFill>
          </w14:textFill>
        </w:rPr>
        <w:t>10</w:t>
      </w:r>
      <w:r>
        <w:rPr>
          <w:rFonts w:hint="eastAsia" w:ascii="仿宋_GB2312" w:hAnsi="仿宋_GB2312" w:eastAsia="仿宋_GB2312" w:cs="仿宋_GB2312"/>
          <w:color w:val="000000" w:themeColor="text1"/>
          <w:sz w:val="28"/>
          <w:szCs w:val="28"/>
          <w14:textFill>
            <w14:solidFill>
              <w14:schemeClr w14:val="tx1"/>
            </w14:solidFill>
          </w14:textFill>
        </w:rPr>
        <w:t>日内</w:t>
      </w:r>
      <w:r>
        <w:rPr>
          <w:rFonts w:hint="eastAsia" w:ascii="仿宋_GB2312" w:hAnsi="仿宋_GB2312" w:eastAsia="仿宋_GB2312" w:cs="仿宋_GB2312"/>
          <w:color w:val="000000" w:themeColor="text1"/>
          <w:sz w:val="28"/>
          <w:szCs w:val="28"/>
          <w:u w:val="single"/>
          <w14:textFill>
            <w14:solidFill>
              <w14:schemeClr w14:val="tx1"/>
            </w14:solidFill>
          </w14:textFill>
        </w:rPr>
        <w:t>按照合同暂定总价的10%提交履约担保，</w:t>
      </w:r>
      <w:r>
        <w:rPr>
          <w:rFonts w:hint="eastAsia" w:ascii="仿宋_GB2312" w:hAnsi="仿宋_GB2312" w:eastAsia="仿宋_GB2312" w:cs="仿宋_GB2312"/>
          <w:color w:val="000000" w:themeColor="text1"/>
          <w:sz w:val="28"/>
          <w:szCs w:val="28"/>
          <w14:textFill>
            <w14:solidFill>
              <w14:schemeClr w14:val="tx1"/>
            </w14:solidFill>
          </w14:textFill>
        </w:rPr>
        <w:t>金额为：</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（大写人民币：</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）未按时提供履约担保的，甲方有权解除合同并要求乙方支付</w:t>
      </w:r>
      <w:r>
        <w:rPr>
          <w:rFonts w:hint="eastAsia" w:ascii="仿宋_GB2312" w:hAnsi="仿宋_GB2312" w:eastAsia="仿宋_GB2312" w:cs="仿宋_GB2312"/>
          <w:color w:val="000000" w:themeColor="text1"/>
          <w:sz w:val="28"/>
          <w:szCs w:val="28"/>
          <w:u w:val="single"/>
          <w14:textFill>
            <w14:solidFill>
              <w14:schemeClr w14:val="tx1"/>
            </w14:solidFill>
          </w14:textFill>
        </w:rPr>
        <w:t>合同暂定总价20%</w:t>
      </w:r>
      <w:r>
        <w:rPr>
          <w:rFonts w:hint="eastAsia" w:ascii="仿宋_GB2312" w:hAnsi="仿宋_GB2312" w:eastAsia="仿宋_GB2312" w:cs="仿宋_GB2312"/>
          <w:color w:val="000000" w:themeColor="text1"/>
          <w:sz w:val="28"/>
          <w:szCs w:val="28"/>
          <w14:textFill>
            <w14:solidFill>
              <w14:schemeClr w14:val="tx1"/>
            </w14:solidFill>
          </w14:textFill>
        </w:rPr>
        <w:t>作为违约金。</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8.8.1履约担保按以下任一种形式提供：</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（1）符合甲方要求的银行独立保函；</w:t>
      </w:r>
    </w:p>
    <w:p>
      <w:pPr>
        <w:pStyle w:val="23"/>
        <w:widowControl w:val="0"/>
        <w:numPr>
          <w:ilvl w:val="12"/>
          <w:numId w:val="0"/>
        </w:numPr>
        <w:spacing w:before="0" w:beforeAutospacing="0" w:after="0" w:afterAutospacing="0"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（2）担保公司担保：项目所在地担保公司出具并经甲方认可的无条件、不可撤销的连带担保；</w:t>
      </w:r>
    </w:p>
    <w:p>
      <w:pPr>
        <w:pStyle w:val="23"/>
        <w:widowControl w:val="0"/>
        <w:numPr>
          <w:ilvl w:val="12"/>
          <w:numId w:val="0"/>
        </w:numPr>
        <w:spacing w:before="0" w:beforeAutospacing="0" w:after="0" w:afterAutospacing="0"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（3）保证保险：项目所在地保险公司出具并经甲方认可的无条件、不可撤销的保证保险；</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（4）现金转账至甲方以下指定账户：</w:t>
      </w:r>
    </w:p>
    <w:p>
      <w:pPr>
        <w:tabs>
          <w:tab w:val="left" w:pos="1995"/>
        </w:tabs>
        <w:spacing w:line="560" w:lineRule="exact"/>
        <w:ind w:firstLine="560" w:firstLineChars="200"/>
        <w:rPr>
          <w:rFonts w:hint="eastAsia" w:ascii="仿宋_GB2312" w:hAnsi="仿宋_GB2312" w:eastAsia="仿宋_GB2312" w:cs="仿宋_GB2312"/>
          <w:bCs/>
          <w:color w:val="000000" w:themeColor="text1"/>
          <w:sz w:val="28"/>
          <w:szCs w:val="28"/>
          <w:u w:val="single"/>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户名：</w:t>
      </w:r>
      <w:r>
        <w:rPr>
          <w:rFonts w:hint="eastAsia" w:ascii="仿宋_GB2312" w:hAnsi="仿宋_GB2312" w:eastAsia="仿宋_GB2312" w:cs="仿宋_GB2312"/>
          <w:bCs/>
          <w:color w:val="000000" w:themeColor="text1"/>
          <w:sz w:val="28"/>
          <w:szCs w:val="28"/>
          <w:u w:val="single"/>
          <w14:textFill>
            <w14:solidFill>
              <w14:schemeClr w14:val="tx1"/>
            </w14:solidFill>
          </w14:textFill>
        </w:rPr>
        <w:t xml:space="preserve">           </w:t>
      </w:r>
    </w:p>
    <w:p>
      <w:pPr>
        <w:tabs>
          <w:tab w:val="left" w:pos="1995"/>
        </w:tabs>
        <w:spacing w:line="560" w:lineRule="exact"/>
        <w:ind w:firstLine="560" w:firstLineChars="200"/>
        <w:rPr>
          <w:rFonts w:hint="eastAsia" w:ascii="仿宋_GB2312" w:hAnsi="仿宋_GB2312" w:eastAsia="仿宋_GB2312" w:cs="仿宋_GB2312"/>
          <w:bCs/>
          <w:color w:val="000000" w:themeColor="text1"/>
          <w:sz w:val="28"/>
          <w:szCs w:val="28"/>
          <w:u w:val="single"/>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账号：</w:t>
      </w:r>
      <w:r>
        <w:rPr>
          <w:rFonts w:hint="eastAsia" w:ascii="仿宋_GB2312" w:hAnsi="仿宋_GB2312" w:eastAsia="仿宋_GB2312" w:cs="仿宋_GB2312"/>
          <w:bCs/>
          <w:color w:val="000000" w:themeColor="text1"/>
          <w:sz w:val="28"/>
          <w:szCs w:val="28"/>
          <w:u w:val="single"/>
          <w14:textFill>
            <w14:solidFill>
              <w14:schemeClr w14:val="tx1"/>
            </w14:solidFill>
          </w14:textFill>
        </w:rPr>
        <w:t xml:space="preserve">           </w:t>
      </w:r>
    </w:p>
    <w:p>
      <w:pPr>
        <w:tabs>
          <w:tab w:val="left" w:pos="1995"/>
        </w:tabs>
        <w:spacing w:line="560" w:lineRule="exact"/>
        <w:ind w:firstLine="560" w:firstLineChars="200"/>
        <w:rPr>
          <w:rFonts w:hint="eastAsia" w:ascii="仿宋_GB2312" w:hAnsi="仿宋_GB2312" w:eastAsia="仿宋_GB2312" w:cs="仿宋_GB2312"/>
          <w:bCs/>
          <w:color w:val="000000" w:themeColor="text1"/>
          <w:sz w:val="28"/>
          <w:szCs w:val="28"/>
          <w:u w:val="single"/>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开户行：</w:t>
      </w:r>
      <w:r>
        <w:rPr>
          <w:rFonts w:hint="eastAsia" w:ascii="仿宋_GB2312" w:hAnsi="仿宋_GB2312" w:eastAsia="仿宋_GB2312" w:cs="仿宋_GB2312"/>
          <w:bCs/>
          <w:color w:val="000000" w:themeColor="text1"/>
          <w:sz w:val="28"/>
          <w:szCs w:val="28"/>
          <w:u w:val="single"/>
          <w14:textFill>
            <w14:solidFill>
              <w14:schemeClr w14:val="tx1"/>
            </w14:solidFill>
          </w14:textFill>
        </w:rPr>
        <w:t xml:space="preserve">         </w:t>
      </w:r>
    </w:p>
    <w:p>
      <w:pPr>
        <w:tabs>
          <w:tab w:val="left" w:pos="1995"/>
        </w:tabs>
        <w:spacing w:line="560" w:lineRule="exact"/>
        <w:ind w:firstLine="560" w:firstLineChars="200"/>
        <w:rPr>
          <w:rFonts w:hint="eastAsia" w:ascii="仿宋_GB2312" w:hAnsi="仿宋_GB2312" w:eastAsia="仿宋_GB2312" w:cs="仿宋_GB2312"/>
          <w:bCs/>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8.8.2履约担保的担保期限和返还</w:t>
      </w:r>
    </w:p>
    <w:p>
      <w:pPr>
        <w:tabs>
          <w:tab w:val="left" w:pos="1995"/>
        </w:tabs>
        <w:spacing w:line="560" w:lineRule="exact"/>
        <w:ind w:firstLine="560" w:firstLineChars="200"/>
        <w:rPr>
          <w:rFonts w:hint="eastAsia" w:ascii="仿宋_GB2312" w:hAnsi="仿宋_GB2312" w:eastAsia="仿宋_GB2312" w:cs="仿宋_GB2312"/>
          <w:bCs/>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（1）担保期限：从提供履约担保（或转账成功）之日起至项目（全部子项目）结算完成。</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（2）履约银行保函、担保公司担保、保证保险在项目（全部子项目）结算完成后，由乙方提出申请，甲方在28日内返还，不支付利息：</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（3）延长担保期限。乙方应在履约担保有效期届满之日的7天前，向甲方提交同样格式且更新日期后的有效担保替代原担保，否则，每逾期一天，乙方应向甲方支付违约金</w:t>
      </w:r>
      <w:r>
        <w:rPr>
          <w:rFonts w:hint="eastAsia" w:ascii="仿宋_GB2312" w:hAnsi="仿宋_GB2312" w:eastAsia="仿宋_GB2312" w:cs="仿宋_GB2312"/>
          <w:color w:val="000000" w:themeColor="text1"/>
          <w:sz w:val="28"/>
          <w:szCs w:val="28"/>
          <w:u w:val="single"/>
          <w14:textFill>
            <w14:solidFill>
              <w14:schemeClr w14:val="tx1"/>
            </w14:solidFill>
          </w14:textFill>
        </w:rPr>
        <w:t>2万元/天</w:t>
      </w:r>
      <w:r>
        <w:rPr>
          <w:rFonts w:hint="eastAsia" w:ascii="仿宋_GB2312" w:hAnsi="仿宋_GB2312" w:eastAsia="仿宋_GB2312" w:cs="仿宋_GB2312"/>
          <w:color w:val="000000" w:themeColor="text1"/>
          <w:sz w:val="28"/>
          <w:szCs w:val="28"/>
          <w14:textFill>
            <w14:solidFill>
              <w14:schemeClr w14:val="tx1"/>
            </w14:solidFill>
          </w14:textFill>
        </w:rPr>
        <w:t>，且甲方有权提取全部履约担保金额并解除合同。</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（4）现金履约保证金的退还：项目（全部子项目）结算完成后，由乙方提出申请，甲方在</w:t>
      </w:r>
      <w:r>
        <w:rPr>
          <w:rFonts w:hint="eastAsia" w:ascii="仿宋_GB2312" w:hAnsi="仿宋_GB2312" w:eastAsia="仿宋_GB2312" w:cs="仿宋_GB2312"/>
          <w:color w:val="000000" w:themeColor="text1"/>
          <w:sz w:val="28"/>
          <w:szCs w:val="28"/>
          <w:u w:val="single"/>
          <w14:textFill>
            <w14:solidFill>
              <w14:schemeClr w14:val="tx1"/>
            </w14:solidFill>
          </w14:textFill>
        </w:rPr>
        <w:t>28日</w:t>
      </w:r>
      <w:r>
        <w:rPr>
          <w:rFonts w:hint="eastAsia" w:ascii="仿宋_GB2312" w:hAnsi="仿宋_GB2312" w:eastAsia="仿宋_GB2312" w:cs="仿宋_GB2312"/>
          <w:color w:val="000000" w:themeColor="text1"/>
          <w:sz w:val="28"/>
          <w:szCs w:val="28"/>
          <w14:textFill>
            <w14:solidFill>
              <w14:schemeClr w14:val="tx1"/>
            </w14:solidFill>
          </w14:textFill>
        </w:rPr>
        <w:t>内将剩余保证金（无息）返还。</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8.8.3甲方按本合同规定提取履约担保金额后，乙方应在收到甲方通知后</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7  </w:t>
      </w:r>
      <w:r>
        <w:rPr>
          <w:rFonts w:hint="eastAsia" w:ascii="仿宋_GB2312" w:hAnsi="仿宋_GB2312" w:eastAsia="仿宋_GB2312" w:cs="仿宋_GB2312"/>
          <w:color w:val="000000" w:themeColor="text1"/>
          <w:sz w:val="28"/>
          <w:szCs w:val="28"/>
          <w14:textFill>
            <w14:solidFill>
              <w14:schemeClr w14:val="tx1"/>
            </w14:solidFill>
          </w14:textFill>
        </w:rPr>
        <w:t>日内补足数额，逾期未补足的，则甲方有权提取履约担保的全部余额并解除合同。</w:t>
      </w:r>
    </w:p>
    <w:p>
      <w:pPr>
        <w:spacing w:line="560" w:lineRule="exact"/>
        <w:ind w:left="479" w:leftChars="228"/>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8.9预付款担保（如需）</w:t>
      </w:r>
    </w:p>
    <w:p>
      <w:pPr>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(1)乙方向甲方提供无条件、不可撤销的银行独立保函作为预付款担保(预付款保函格式详见附件)。预付款担保的担保金额应与预付款金额相同。预付款从应支付给乙方的进度款中扣回，</w:t>
      </w:r>
    </w:p>
    <w:p>
      <w:pPr>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(2)预付款担保应在预付款扣清后28日内退还给乙方。甲方不承担乙方与预付款担保有关的任何利息或其他类似的费用或收益。</w:t>
      </w:r>
    </w:p>
    <w:p>
      <w:pPr>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8.10付款方式： </w:t>
      </w:r>
      <w:r>
        <w:rPr>
          <w:rFonts w:hint="eastAsia" w:ascii="仿宋_GB2312" w:hAnsi="仿宋_GB2312" w:eastAsia="仿宋_GB2312" w:cs="仿宋_GB2312"/>
          <w:color w:val="000000" w:themeColor="text1"/>
          <w:sz w:val="28"/>
          <w:szCs w:val="28"/>
          <w14:textFill>
            <w14:solidFill>
              <w14:schemeClr w14:val="tx1"/>
            </w14:solidFill>
          </w14:textFill>
        </w:rPr>
        <w:sym w:font="Wingdings" w:char="00FE"/>
      </w:r>
      <w:r>
        <w:rPr>
          <w:rFonts w:hint="eastAsia" w:ascii="仿宋_GB2312" w:hAnsi="仿宋_GB2312" w:eastAsia="仿宋_GB2312" w:cs="仿宋_GB2312"/>
          <w:color w:val="000000" w:themeColor="text1"/>
          <w:sz w:val="28"/>
          <w:szCs w:val="28"/>
          <w14:textFill>
            <w14:solidFill>
              <w14:schemeClr w14:val="tx1"/>
            </w14:solidFill>
          </w14:textFill>
        </w:rPr>
        <w:t xml:space="preserve">网银支付；  </w:t>
      </w:r>
      <w:r>
        <w:rPr>
          <w:rFonts w:hint="eastAsia" w:ascii="仿宋_GB2312" w:hAnsi="仿宋_GB2312" w:eastAsia="仿宋_GB2312" w:cs="仿宋_GB2312"/>
          <w:color w:val="000000" w:themeColor="text1"/>
          <w:sz w:val="28"/>
          <w:szCs w:val="28"/>
          <w14:textFill>
            <w14:solidFill>
              <w14:schemeClr w14:val="tx1"/>
            </w14:solidFill>
          </w14:textFill>
        </w:rPr>
        <w:sym w:font="Wingdings" w:char="00A8"/>
      </w:r>
      <w:r>
        <w:rPr>
          <w:rFonts w:hint="eastAsia" w:ascii="仿宋_GB2312" w:hAnsi="仿宋_GB2312" w:eastAsia="仿宋_GB2312" w:cs="仿宋_GB2312"/>
          <w:color w:val="000000" w:themeColor="text1"/>
          <w:sz w:val="28"/>
          <w:szCs w:val="28"/>
          <w14:textFill>
            <w14:solidFill>
              <w14:schemeClr w14:val="tx1"/>
            </w14:solidFill>
          </w14:textFill>
        </w:rPr>
        <w:t xml:space="preserve">支票；   </w:t>
      </w:r>
      <w:r>
        <w:rPr>
          <w:rFonts w:hint="eastAsia" w:ascii="仿宋_GB2312" w:hAnsi="仿宋_GB2312" w:eastAsia="仿宋_GB2312" w:cs="仿宋_GB2312"/>
          <w:color w:val="000000" w:themeColor="text1"/>
          <w:sz w:val="28"/>
          <w:szCs w:val="28"/>
          <w14:textFill>
            <w14:solidFill>
              <w14:schemeClr w14:val="tx1"/>
            </w14:solidFill>
          </w14:textFill>
        </w:rPr>
        <w:sym w:font="Wingdings" w:char="00A8"/>
      </w:r>
      <w:r>
        <w:rPr>
          <w:rFonts w:hint="eastAsia" w:ascii="仿宋_GB2312" w:hAnsi="仿宋_GB2312" w:eastAsia="仿宋_GB2312" w:cs="仿宋_GB2312"/>
          <w:color w:val="000000" w:themeColor="text1"/>
          <w:sz w:val="28"/>
          <w:szCs w:val="28"/>
          <w14:textFill>
            <w14:solidFill>
              <w14:schemeClr w14:val="tx1"/>
            </w14:solidFill>
          </w14:textFill>
        </w:rPr>
        <w:t>其他</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 xml:space="preserve"> </w:t>
      </w:r>
    </w:p>
    <w:p>
      <w:pPr>
        <w:spacing w:line="560" w:lineRule="exact"/>
        <w:ind w:firstLine="560" w:firstLineChars="200"/>
        <w:jc w:val="left"/>
        <w:rPr>
          <w:rFonts w:hint="eastAsia" w:ascii="仿宋_GB2312" w:hAnsi="仿宋_GB2312" w:eastAsia="仿宋_GB2312" w:cs="仿宋_GB2312"/>
          <w:bCs/>
          <w:color w:val="000000" w:themeColor="text1"/>
          <w:sz w:val="28"/>
          <w:szCs w:val="28"/>
          <w:bdr w:val="single" w:color="auto" w:sz="4" w:space="0"/>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（建议采用网银支付、支票两种形式中之一）。</w:t>
      </w:r>
    </w:p>
    <w:p>
      <w:pPr>
        <w:spacing w:line="560" w:lineRule="exact"/>
        <w:ind w:firstLine="562" w:firstLineChars="200"/>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第九条 竣工验收</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9.1乙方应在项目/子项目工程完工后</w:t>
      </w:r>
      <w:r>
        <w:rPr>
          <w:rFonts w:hint="eastAsia" w:ascii="仿宋_GB2312" w:hAnsi="仿宋_GB2312" w:eastAsia="仿宋_GB2312" w:cs="仿宋_GB2312"/>
          <w:color w:val="000000" w:themeColor="text1"/>
          <w:sz w:val="28"/>
          <w:szCs w:val="28"/>
          <w:u w:val="single"/>
          <w14:textFill>
            <w14:solidFill>
              <w14:schemeClr w14:val="tx1"/>
            </w14:solidFill>
          </w14:textFill>
        </w:rPr>
        <w:t>30天</w:t>
      </w:r>
      <w:r>
        <w:rPr>
          <w:rFonts w:hint="eastAsia" w:ascii="仿宋_GB2312" w:hAnsi="仿宋_GB2312" w:eastAsia="仿宋_GB2312" w:cs="仿宋_GB2312"/>
          <w:color w:val="000000" w:themeColor="text1"/>
          <w:sz w:val="28"/>
          <w:szCs w:val="28"/>
          <w14:textFill>
            <w14:solidFill>
              <w14:schemeClr w14:val="tx1"/>
            </w14:solidFill>
          </w14:textFill>
        </w:rPr>
        <w:t>内将经甲方审核的完整竣工资料（含竣工图）和竣工验收报告各</w:t>
      </w:r>
      <w:r>
        <w:rPr>
          <w:rFonts w:hint="eastAsia" w:ascii="仿宋_GB2312" w:hAnsi="仿宋_GB2312" w:eastAsia="仿宋_GB2312" w:cs="仿宋_GB2312"/>
          <w:color w:val="000000" w:themeColor="text1"/>
          <w:sz w:val="28"/>
          <w:szCs w:val="28"/>
          <w:u w:val="single"/>
          <w14:textFill>
            <w14:solidFill>
              <w14:schemeClr w14:val="tx1"/>
            </w14:solidFill>
          </w14:textFill>
        </w:rPr>
        <w:t>一式四份</w:t>
      </w:r>
      <w:r>
        <w:rPr>
          <w:rFonts w:hint="eastAsia" w:ascii="仿宋_GB2312" w:hAnsi="仿宋_GB2312" w:eastAsia="仿宋_GB2312" w:cs="仿宋_GB2312"/>
          <w:color w:val="000000" w:themeColor="text1"/>
          <w:sz w:val="28"/>
          <w:szCs w:val="28"/>
          <w14:textFill>
            <w14:solidFill>
              <w14:schemeClr w14:val="tx1"/>
            </w14:solidFill>
          </w14:textFill>
        </w:rPr>
        <w:t>交甲方，不按时报送工程竣工资料的，每逾期一天，甲方要求乙方支付</w:t>
      </w:r>
      <w:r>
        <w:rPr>
          <w:rFonts w:hint="eastAsia" w:ascii="仿宋_GB2312" w:hAnsi="仿宋_GB2312" w:eastAsia="仿宋_GB2312" w:cs="仿宋_GB2312"/>
          <w:color w:val="000000" w:themeColor="text1"/>
          <w:sz w:val="28"/>
          <w:szCs w:val="28"/>
          <w:u w:val="single"/>
          <w:lang w:bidi="ar"/>
          <w14:textFill>
            <w14:solidFill>
              <w14:schemeClr w14:val="tx1"/>
            </w14:solidFill>
          </w14:textFill>
        </w:rPr>
        <w:t>项目/对应子项目</w:t>
      </w:r>
      <w:r>
        <w:rPr>
          <w:rFonts w:hint="eastAsia" w:ascii="仿宋_GB2312" w:hAnsi="仿宋_GB2312" w:eastAsia="仿宋_GB2312" w:cs="仿宋_GB2312"/>
          <w:color w:val="000000" w:themeColor="text1"/>
          <w:sz w:val="28"/>
          <w:szCs w:val="28"/>
          <w:u w:val="single"/>
          <w14:textFill>
            <w14:solidFill>
              <w14:schemeClr w14:val="tx1"/>
            </w14:solidFill>
          </w14:textFill>
        </w:rPr>
        <w:t>合同暂定总价</w:t>
      </w:r>
      <w:r>
        <w:rPr>
          <w:rFonts w:hint="eastAsia" w:ascii="仿宋_GB2312" w:hAnsi="仿宋_GB2312" w:eastAsia="仿宋_GB2312" w:cs="仿宋_GB2312"/>
          <w:bCs/>
          <w:color w:val="000000" w:themeColor="text1"/>
          <w:sz w:val="28"/>
          <w:szCs w:val="28"/>
          <w:u w:val="single"/>
          <w14:textFill>
            <w14:solidFill>
              <w14:schemeClr w14:val="tx1"/>
            </w14:solidFill>
          </w14:textFill>
        </w:rPr>
        <w:t>万分之五/天</w:t>
      </w:r>
      <w:r>
        <w:rPr>
          <w:rFonts w:hint="eastAsia" w:ascii="仿宋_GB2312" w:hAnsi="仿宋_GB2312" w:eastAsia="仿宋_GB2312" w:cs="仿宋_GB2312"/>
          <w:color w:val="000000" w:themeColor="text1"/>
          <w:sz w:val="28"/>
          <w:szCs w:val="28"/>
          <w14:textFill>
            <w14:solidFill>
              <w14:schemeClr w14:val="tx1"/>
            </w14:solidFill>
          </w14:textFill>
        </w:rPr>
        <w:t>，并在支付合同款时抵扣。</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9.2甲方收到完整的竣工验收资料（完整的竣工验收资料：施工方案、开工/竣工报告、安全备案整套资料、本合同书、询价文件/响应文件、中标通知书/发包通知书/委托书、工程预算送审报告、工程结算书/签证记录、备件开箱记录表或送货单、竣工图等，如有必须提供）和竣工验收报告后</w:t>
      </w:r>
      <w:r>
        <w:rPr>
          <w:rFonts w:hint="eastAsia" w:ascii="仿宋_GB2312" w:hAnsi="仿宋_GB2312" w:eastAsia="仿宋_GB2312" w:cs="仿宋_GB2312"/>
          <w:color w:val="000000" w:themeColor="text1"/>
          <w:sz w:val="28"/>
          <w:szCs w:val="28"/>
          <w:u w:val="single"/>
          <w14:textFill>
            <w14:solidFill>
              <w14:schemeClr w14:val="tx1"/>
            </w14:solidFill>
          </w14:textFill>
        </w:rPr>
        <w:t>20天</w:t>
      </w:r>
      <w:r>
        <w:rPr>
          <w:rFonts w:hint="eastAsia" w:ascii="仿宋_GB2312" w:hAnsi="仿宋_GB2312" w:eastAsia="仿宋_GB2312" w:cs="仿宋_GB2312"/>
          <w:color w:val="000000" w:themeColor="text1"/>
          <w:sz w:val="28"/>
          <w:szCs w:val="28"/>
          <w14:textFill>
            <w14:solidFill>
              <w14:schemeClr w14:val="tx1"/>
            </w14:solidFill>
          </w14:textFill>
        </w:rPr>
        <w:t>内组织有关单位进行验收，工程竣工验收严格按国家、省、市、部门有关文件执行，并在验收后</w:t>
      </w:r>
      <w:r>
        <w:rPr>
          <w:rFonts w:hint="eastAsia" w:ascii="仿宋_GB2312" w:hAnsi="仿宋_GB2312" w:eastAsia="仿宋_GB2312" w:cs="仿宋_GB2312"/>
          <w:color w:val="000000" w:themeColor="text1"/>
          <w:sz w:val="28"/>
          <w:szCs w:val="28"/>
          <w:u w:val="single"/>
          <w14:textFill>
            <w14:solidFill>
              <w14:schemeClr w14:val="tx1"/>
            </w14:solidFill>
          </w14:textFill>
        </w:rPr>
        <w:t>10天</w:t>
      </w:r>
      <w:r>
        <w:rPr>
          <w:rFonts w:hint="eastAsia" w:ascii="仿宋_GB2312" w:hAnsi="仿宋_GB2312" w:eastAsia="仿宋_GB2312" w:cs="仿宋_GB2312"/>
          <w:color w:val="000000" w:themeColor="text1"/>
          <w:sz w:val="28"/>
          <w:szCs w:val="28"/>
          <w14:textFill>
            <w14:solidFill>
              <w14:schemeClr w14:val="tx1"/>
            </w14:solidFill>
          </w14:textFill>
        </w:rPr>
        <w:t>内给予认可或提出修改意见。乙方按要求修改，并承担修改的费用。</w:t>
      </w:r>
    </w:p>
    <w:p>
      <w:pPr>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9.3工程竣工验收通过，乙方送交完整的竣工验收资料和竣工验收报告的日期为实际竣工日期。工程按甲方要求修改后通过竣工验收的，实际竣工日期为乙方修改后提请甲方验收的日期。</w:t>
      </w:r>
    </w:p>
    <w:p>
      <w:pPr>
        <w:spacing w:line="560" w:lineRule="exact"/>
        <w:ind w:firstLine="560" w:firstLineChars="200"/>
        <w:jc w:val="left"/>
        <w:rPr>
          <w:rFonts w:hint="eastAsia" w:ascii="仿宋_GB2312" w:hAnsi="仿宋_GB2312" w:eastAsia="仿宋_GB2312" w:cs="仿宋_GB2312"/>
          <w:color w:val="000000" w:themeColor="text1"/>
          <w:sz w:val="28"/>
          <w:szCs w:val="28"/>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9.4隐蔽工程验收</w:t>
      </w:r>
    </w:p>
    <w:p>
      <w:pPr>
        <w:spacing w:line="560" w:lineRule="exact"/>
        <w:ind w:firstLine="560" w:firstLineChars="200"/>
        <w:jc w:val="left"/>
        <w:rPr>
          <w:rFonts w:hint="eastAsia" w:ascii="仿宋_GB2312" w:hAnsi="仿宋_GB2312" w:eastAsia="仿宋_GB2312" w:cs="仿宋_GB2312"/>
          <w:color w:val="000000" w:themeColor="text1"/>
          <w:sz w:val="28"/>
          <w:szCs w:val="28"/>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当项目具备覆盖、掩盖条件或达到中间验收部位后，乙方自检，并提前48 小时以书面形式通知甲方参加验收，经甲方验收合格并在验收记录上签字后，方可进行隐蔽和继续施工。</w:t>
      </w:r>
    </w:p>
    <w:p>
      <w:pPr>
        <w:spacing w:line="560" w:lineRule="exact"/>
        <w:ind w:firstLine="560" w:firstLineChars="200"/>
        <w:jc w:val="left"/>
        <w:rPr>
          <w:rFonts w:hint="eastAsia" w:ascii="仿宋_GB2312" w:hAnsi="仿宋_GB2312" w:eastAsia="仿宋_GB2312" w:cs="仿宋_GB2312"/>
          <w:color w:val="000000" w:themeColor="text1"/>
          <w:sz w:val="28"/>
          <w:szCs w:val="28"/>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9.5 工程竣工验收通过后</w:t>
      </w:r>
      <w:r>
        <w:rPr>
          <w:rFonts w:hint="eastAsia" w:ascii="仿宋_GB2312" w:hAnsi="仿宋_GB2312" w:eastAsia="仿宋_GB2312" w:cs="仿宋_GB2312"/>
          <w:color w:val="000000" w:themeColor="text1"/>
          <w:sz w:val="28"/>
          <w:szCs w:val="28"/>
          <w:u w:val="single"/>
          <w:lang w:bidi="ar"/>
          <w14:textFill>
            <w14:solidFill>
              <w14:schemeClr w14:val="tx1"/>
            </w14:solidFill>
          </w14:textFill>
        </w:rPr>
        <w:t xml:space="preserve"> 7 日</w:t>
      </w:r>
      <w:r>
        <w:rPr>
          <w:rFonts w:hint="eastAsia" w:ascii="仿宋_GB2312" w:hAnsi="仿宋_GB2312" w:eastAsia="仿宋_GB2312" w:cs="仿宋_GB2312"/>
          <w:color w:val="000000" w:themeColor="text1"/>
          <w:sz w:val="28"/>
          <w:szCs w:val="28"/>
          <w:lang w:bidi="ar"/>
          <w14:textFill>
            <w14:solidFill>
              <w14:schemeClr w14:val="tx1"/>
            </w14:solidFill>
          </w14:textFill>
        </w:rPr>
        <w:t>内，乙方应按以下要求对施工场地进行清理，直至甲方检验合格为止。竣工清场费用由乙方承担。</w:t>
      </w:r>
    </w:p>
    <w:p>
      <w:pPr>
        <w:spacing w:line="560" w:lineRule="exact"/>
        <w:ind w:firstLine="560" w:firstLineChars="200"/>
        <w:jc w:val="left"/>
        <w:rPr>
          <w:rFonts w:hint="eastAsia" w:ascii="仿宋_GB2312" w:hAnsi="仿宋_GB2312" w:eastAsia="仿宋_GB2312" w:cs="仿宋_GB2312"/>
          <w:color w:val="000000" w:themeColor="text1"/>
          <w:sz w:val="28"/>
          <w:szCs w:val="28"/>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（1）清除施工场地内残留的垃圾（包括但不限于：施工的淤泥渣土、废弃的施工设备和材料等)。</w:t>
      </w:r>
    </w:p>
    <w:p>
      <w:pPr>
        <w:spacing w:line="560" w:lineRule="exact"/>
        <w:ind w:firstLine="560" w:firstLineChars="200"/>
        <w:jc w:val="left"/>
        <w:rPr>
          <w:rFonts w:hint="eastAsia" w:ascii="仿宋_GB2312" w:hAnsi="仿宋_GB2312" w:eastAsia="仿宋_GB2312" w:cs="仿宋_GB2312"/>
          <w:color w:val="000000" w:themeColor="text1"/>
          <w:sz w:val="28"/>
          <w:szCs w:val="28"/>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（2）如涉及临时工程，乙方负责拆除并对场地进行清理、平整或复原。</w:t>
      </w:r>
    </w:p>
    <w:p>
      <w:pPr>
        <w:spacing w:line="560" w:lineRule="exact"/>
        <w:ind w:left="479" w:leftChars="228"/>
        <w:jc w:val="left"/>
        <w:rPr>
          <w:rFonts w:hint="eastAsia" w:ascii="仿宋_GB2312" w:hAnsi="仿宋_GB2312" w:eastAsia="仿宋_GB2312" w:cs="仿宋_GB2312"/>
          <w:color w:val="000000" w:themeColor="text1"/>
          <w:sz w:val="28"/>
          <w:szCs w:val="28"/>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（3）对乙方设备和剩余的材料进行撤场。</w:t>
      </w:r>
    </w:p>
    <w:p>
      <w:pPr>
        <w:spacing w:line="560" w:lineRule="exact"/>
        <w:ind w:firstLine="560" w:firstLineChars="200"/>
        <w:jc w:val="left"/>
        <w:rPr>
          <w:rFonts w:hint="eastAsia" w:ascii="仿宋_GB2312" w:hAnsi="仿宋_GB2312" w:eastAsia="仿宋_GB2312" w:cs="仿宋_GB2312"/>
          <w:color w:val="000000" w:themeColor="text1"/>
          <w:sz w:val="28"/>
          <w:szCs w:val="28"/>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如乙方逾期未能对施工场地进行清理，甲方有权委托第三方清理，清理费用由乙方承担，并在应付款项中抵扣。</w:t>
      </w:r>
    </w:p>
    <w:p>
      <w:pPr>
        <w:spacing w:line="560" w:lineRule="exact"/>
        <w:ind w:firstLine="560" w:firstLineChars="200"/>
        <w:jc w:val="left"/>
        <w:rPr>
          <w:rFonts w:hint="eastAsia" w:ascii="仿宋_GB2312" w:hAnsi="仿宋_GB2312" w:eastAsia="仿宋_GB2312" w:cs="仿宋_GB2312"/>
          <w:color w:val="000000" w:themeColor="text1"/>
          <w:sz w:val="28"/>
          <w:szCs w:val="28"/>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9.6 竣工档案的整理和移交</w:t>
      </w:r>
    </w:p>
    <w:p>
      <w:pPr>
        <w:spacing w:line="560" w:lineRule="exact"/>
        <w:ind w:firstLine="560" w:firstLineChars="200"/>
        <w:jc w:val="left"/>
        <w:rPr>
          <w:rFonts w:hint="eastAsia" w:ascii="仿宋_GB2312" w:hAnsi="仿宋_GB2312" w:eastAsia="仿宋_GB2312" w:cs="仿宋_GB2312"/>
          <w:color w:val="000000" w:themeColor="text1"/>
          <w:sz w:val="28"/>
          <w:szCs w:val="28"/>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1）乙方应参照国家《城市建设档案管理规定》、《广州市城市建设档案管理办法》和甲方有关整理工程档案的要求，在工程施工期间及时收集、汇总、整理、编制竣工档案，并于工程竣工验收后按下款约定向甲方完整移交如下竣工档案：</w:t>
      </w:r>
    </w:p>
    <w:p>
      <w:pPr>
        <w:spacing w:line="560" w:lineRule="exact"/>
        <w:ind w:firstLine="560" w:firstLineChars="200"/>
        <w:jc w:val="left"/>
        <w:rPr>
          <w:rFonts w:hint="eastAsia" w:ascii="仿宋_GB2312" w:hAnsi="仿宋_GB2312" w:eastAsia="仿宋_GB2312" w:cs="仿宋_GB2312"/>
          <w:color w:val="000000" w:themeColor="text1"/>
          <w:sz w:val="28"/>
          <w:szCs w:val="28"/>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（a）竣工文件资料、竣工图档案（原件）各一式四份；</w:t>
      </w:r>
      <w:r>
        <w:rPr>
          <w:rFonts w:hint="eastAsia" w:ascii="仿宋_GB2312" w:hAnsi="仿宋_GB2312" w:eastAsia="仿宋_GB2312" w:cs="仿宋_GB2312"/>
          <w:color w:val="000000" w:themeColor="text1"/>
          <w:sz w:val="28"/>
          <w:szCs w:val="28"/>
          <w:lang w:bidi="ar"/>
          <w14:textFill>
            <w14:solidFill>
              <w14:schemeClr w14:val="tx1"/>
            </w14:solidFill>
          </w14:textFill>
        </w:rPr>
        <w:br w:type="textWrapping"/>
      </w:r>
      <w:r>
        <w:rPr>
          <w:rFonts w:hint="eastAsia" w:ascii="仿宋_GB2312" w:hAnsi="仿宋_GB2312" w:eastAsia="仿宋_GB2312" w:cs="仿宋_GB2312"/>
          <w:color w:val="000000" w:themeColor="text1"/>
          <w:sz w:val="28"/>
          <w:szCs w:val="28"/>
          <w:lang w:bidi="ar"/>
          <w14:textFill>
            <w14:solidFill>
              <w14:schemeClr w14:val="tx1"/>
            </w14:solidFill>
          </w14:textFill>
        </w:rPr>
        <w:t xml:space="preserve">    （b）与本款（a）项内容相同的电子版档案一式二份；</w:t>
      </w:r>
      <w:r>
        <w:rPr>
          <w:rFonts w:hint="eastAsia" w:ascii="仿宋_GB2312" w:hAnsi="仿宋_GB2312" w:eastAsia="仿宋_GB2312" w:cs="仿宋_GB2312"/>
          <w:color w:val="000000" w:themeColor="text1"/>
          <w:sz w:val="28"/>
          <w:szCs w:val="28"/>
          <w:lang w:bidi="ar"/>
          <w14:textFill>
            <w14:solidFill>
              <w14:schemeClr w14:val="tx1"/>
            </w14:solidFill>
          </w14:textFill>
        </w:rPr>
        <w:br w:type="textWrapping"/>
      </w:r>
      <w:r>
        <w:rPr>
          <w:rFonts w:hint="eastAsia" w:ascii="仿宋_GB2312" w:hAnsi="仿宋_GB2312" w:eastAsia="仿宋_GB2312" w:cs="仿宋_GB2312"/>
          <w:color w:val="000000" w:themeColor="text1"/>
          <w:sz w:val="28"/>
          <w:szCs w:val="28"/>
          <w:lang w:bidi="ar"/>
          <w14:textFill>
            <w14:solidFill>
              <w14:schemeClr w14:val="tx1"/>
            </w14:solidFill>
          </w14:textFill>
        </w:rPr>
        <w:t xml:space="preserve">    （2）乙方移交竣工档案的时限：乙方应于工程竣工验收后</w:t>
      </w:r>
      <w:r>
        <w:rPr>
          <w:rFonts w:hint="eastAsia" w:ascii="仿宋_GB2312" w:hAnsi="仿宋_GB2312" w:eastAsia="仿宋_GB2312" w:cs="仿宋_GB2312"/>
          <w:color w:val="000000" w:themeColor="text1"/>
          <w:sz w:val="28"/>
          <w:szCs w:val="28"/>
          <w:u w:val="single"/>
          <w:lang w:bidi="ar"/>
          <w14:textFill>
            <w14:solidFill>
              <w14:schemeClr w14:val="tx1"/>
            </w14:solidFill>
          </w14:textFill>
        </w:rPr>
        <w:t xml:space="preserve"> 30 天</w:t>
      </w:r>
      <w:r>
        <w:rPr>
          <w:rFonts w:hint="eastAsia" w:ascii="仿宋_GB2312" w:hAnsi="仿宋_GB2312" w:eastAsia="仿宋_GB2312" w:cs="仿宋_GB2312"/>
          <w:color w:val="000000" w:themeColor="text1"/>
          <w:sz w:val="28"/>
          <w:szCs w:val="28"/>
          <w:lang w:bidi="ar"/>
          <w14:textFill>
            <w14:solidFill>
              <w14:schemeClr w14:val="tx1"/>
            </w14:solidFill>
          </w14:textFill>
        </w:rPr>
        <w:t xml:space="preserve">内将竣工档案提交甲方签认。乙方应于甲方签认后 </w:t>
      </w:r>
      <w:r>
        <w:rPr>
          <w:rFonts w:hint="eastAsia" w:ascii="仿宋_GB2312" w:hAnsi="仿宋_GB2312" w:eastAsia="仿宋_GB2312" w:cs="仿宋_GB2312"/>
          <w:color w:val="000000" w:themeColor="text1"/>
          <w:sz w:val="28"/>
          <w:szCs w:val="28"/>
          <w:u w:val="single"/>
          <w:lang w:bidi="ar"/>
          <w14:textFill>
            <w14:solidFill>
              <w14:schemeClr w14:val="tx1"/>
            </w14:solidFill>
          </w14:textFill>
        </w:rPr>
        <w:t>10 天</w:t>
      </w:r>
      <w:r>
        <w:rPr>
          <w:rFonts w:hint="eastAsia" w:ascii="仿宋_GB2312" w:hAnsi="仿宋_GB2312" w:eastAsia="仿宋_GB2312" w:cs="仿宋_GB2312"/>
          <w:color w:val="000000" w:themeColor="text1"/>
          <w:sz w:val="28"/>
          <w:szCs w:val="28"/>
          <w:lang w:bidi="ar"/>
          <w14:textFill>
            <w14:solidFill>
              <w14:schemeClr w14:val="tx1"/>
            </w14:solidFill>
          </w14:textFill>
        </w:rPr>
        <w:t>内将竣工档案移交给甲方归档并同时移交有关归档的证明文件。甲方经审查合格的，应在收到竣工档案后</w:t>
      </w:r>
      <w:r>
        <w:rPr>
          <w:rFonts w:hint="eastAsia" w:ascii="仿宋_GB2312" w:hAnsi="仿宋_GB2312" w:eastAsia="仿宋_GB2312" w:cs="仿宋_GB2312"/>
          <w:color w:val="000000" w:themeColor="text1"/>
          <w:sz w:val="28"/>
          <w:szCs w:val="28"/>
          <w:u w:val="single"/>
          <w:lang w:bidi="ar"/>
          <w14:textFill>
            <w14:solidFill>
              <w14:schemeClr w14:val="tx1"/>
            </w14:solidFill>
          </w14:textFill>
        </w:rPr>
        <w:t xml:space="preserve"> 10 天</w:t>
      </w:r>
      <w:r>
        <w:rPr>
          <w:rFonts w:hint="eastAsia" w:ascii="仿宋_GB2312" w:hAnsi="仿宋_GB2312" w:eastAsia="仿宋_GB2312" w:cs="仿宋_GB2312"/>
          <w:color w:val="000000" w:themeColor="text1"/>
          <w:sz w:val="28"/>
          <w:szCs w:val="28"/>
          <w:lang w:bidi="ar"/>
          <w14:textFill>
            <w14:solidFill>
              <w14:schemeClr w14:val="tx1"/>
            </w14:solidFill>
          </w14:textFill>
        </w:rPr>
        <w:t>内签署档案验收意见；不合格的，乙方应按甲方要求限期补正，直至合格为止。乙超过本条规定的时限，每逾期一天</w:t>
      </w:r>
      <w:r>
        <w:rPr>
          <w:rFonts w:hint="eastAsia" w:ascii="仿宋_GB2312" w:hAnsi="仿宋_GB2312" w:eastAsia="仿宋_GB2312" w:cs="仿宋_GB2312"/>
          <w:color w:val="000000" w:themeColor="text1"/>
          <w:sz w:val="28"/>
          <w:szCs w:val="28"/>
          <w:u w:val="single"/>
          <w:lang w:bidi="ar"/>
          <w14:textFill>
            <w14:solidFill>
              <w14:schemeClr w14:val="tx1"/>
            </w14:solidFill>
          </w14:textFill>
        </w:rPr>
        <w:t>项目/对应子项目合同暂定总价万分之五/天</w:t>
      </w:r>
      <w:r>
        <w:rPr>
          <w:rFonts w:hint="eastAsia" w:ascii="仿宋_GB2312" w:hAnsi="仿宋_GB2312" w:eastAsia="仿宋_GB2312" w:cs="仿宋_GB2312"/>
          <w:color w:val="000000" w:themeColor="text1"/>
          <w:sz w:val="28"/>
          <w:szCs w:val="28"/>
          <w:lang w:bidi="ar"/>
          <w14:textFill>
            <w14:solidFill>
              <w14:schemeClr w14:val="tx1"/>
            </w14:solidFill>
          </w14:textFill>
        </w:rPr>
        <w:t>违约金。</w:t>
      </w:r>
      <w:r>
        <w:rPr>
          <w:rFonts w:hint="eastAsia" w:ascii="仿宋_GB2312" w:hAnsi="仿宋_GB2312" w:eastAsia="仿宋_GB2312" w:cs="仿宋_GB2312"/>
          <w:color w:val="000000" w:themeColor="text1"/>
          <w:sz w:val="28"/>
          <w:szCs w:val="28"/>
          <w:lang w:bidi="ar"/>
          <w14:textFill>
            <w14:solidFill>
              <w14:schemeClr w14:val="tx1"/>
            </w14:solidFill>
          </w14:textFill>
        </w:rPr>
        <w:br w:type="textWrapping"/>
      </w:r>
      <w:r>
        <w:rPr>
          <w:rFonts w:hint="eastAsia" w:ascii="仿宋_GB2312" w:hAnsi="仿宋_GB2312" w:eastAsia="仿宋_GB2312" w:cs="仿宋_GB2312"/>
          <w:color w:val="000000" w:themeColor="text1"/>
          <w:sz w:val="28"/>
          <w:szCs w:val="28"/>
          <w:lang w:bidi="ar"/>
          <w14:textFill>
            <w14:solidFill>
              <w14:schemeClr w14:val="tx1"/>
            </w14:solidFill>
          </w14:textFill>
        </w:rPr>
        <w:t xml:space="preserve">    （3）电子版竣工图的编制，以甲方提供的电子版施工图为基础。乙方在移交竣工档案时，应一并移交甲方提供的电子版施工图。电子版施工图和电子版竣工图的知识产权归属甲方所有，非经甲方许可，乙方不得以任何方式复制、备份、转让和利用。否则，由此引起的任何纠纷和责任由乙方承担。</w:t>
      </w:r>
    </w:p>
    <w:p>
      <w:pPr>
        <w:spacing w:line="560" w:lineRule="exact"/>
        <w:ind w:firstLine="560" w:firstLineChars="200"/>
        <w:rPr>
          <w:rFonts w:hint="eastAsia" w:ascii="仿宋_GB2312" w:hAnsi="仿宋_GB2312" w:eastAsia="仿宋_GB2312" w:cs="仿宋_GB2312"/>
          <w:color w:val="000000" w:themeColor="text1"/>
          <w:sz w:val="28"/>
          <w:szCs w:val="28"/>
          <w:u w:val="single"/>
          <w:lang w:bidi="ar"/>
          <w14:textFill>
            <w14:solidFill>
              <w14:schemeClr w14:val="tx1"/>
            </w14:solidFill>
          </w14:textFill>
        </w:rPr>
      </w:pPr>
      <w:r>
        <w:rPr>
          <w:rFonts w:hint="eastAsia" w:ascii="仿宋_GB2312" w:hAnsi="仿宋_GB2312" w:eastAsia="仿宋_GB2312" w:cs="仿宋_GB2312"/>
          <w:color w:val="000000" w:themeColor="text1"/>
          <w:sz w:val="28"/>
          <w:szCs w:val="28"/>
          <w:lang w:bidi="ar"/>
          <w14:textFill>
            <w14:solidFill>
              <w14:schemeClr w14:val="tx1"/>
            </w14:solidFill>
          </w14:textFill>
        </w:rPr>
        <w:t>9.7本合同竣工验收单位为：</w:t>
      </w:r>
      <w:r>
        <w:rPr>
          <w:rFonts w:hint="eastAsia" w:ascii="仿宋_GB2312" w:hAnsi="仿宋_GB2312" w:eastAsia="仿宋_GB2312" w:cs="仿宋_GB2312"/>
          <w:color w:val="000000" w:themeColor="text1"/>
          <w:sz w:val="28"/>
          <w:szCs w:val="28"/>
          <w:u w:val="single"/>
          <w:lang w:bidi="ar"/>
          <w14:textFill>
            <w14:solidFill>
              <w14:schemeClr w14:val="tx1"/>
            </w14:solidFill>
          </w14:textFill>
        </w:rPr>
        <w:t xml:space="preserve"> 广州市净水有限公司京溪分公司   。</w:t>
      </w:r>
    </w:p>
    <w:p>
      <w:pPr>
        <w:numPr>
          <w:ilvl w:val="0"/>
          <w:numId w:val="6"/>
        </w:numPr>
        <w:spacing w:line="560" w:lineRule="exact"/>
        <w:ind w:firstLine="562" w:firstLineChars="200"/>
        <w:jc w:val="left"/>
        <w:rPr>
          <w:rFonts w:hint="eastAsia" w:ascii="仿宋_GB2312" w:hAnsi="仿宋_GB2312" w:eastAsia="仿宋_GB2312" w:cs="仿宋_GB2312"/>
          <w:b/>
          <w:bCs/>
          <w:color w:val="000000" w:themeColor="text1"/>
          <w:sz w:val="28"/>
          <w:szCs w:val="28"/>
          <w14:textFill>
            <w14:solidFill>
              <w14:schemeClr w14:val="tx1"/>
            </w14:solidFill>
          </w14:textFill>
        </w:rPr>
      </w:pPr>
      <w:bookmarkStart w:id="69" w:name="_Toc518992994"/>
      <w:bookmarkStart w:id="70" w:name="_Toc474245220"/>
      <w:bookmarkStart w:id="71" w:name="_Toc520190034"/>
      <w:r>
        <w:rPr>
          <w:rFonts w:hint="eastAsia" w:ascii="仿宋_GB2312" w:hAnsi="仿宋_GB2312" w:eastAsia="仿宋_GB2312" w:cs="仿宋_GB2312"/>
          <w:b/>
          <w:bCs/>
          <w:color w:val="000000" w:themeColor="text1"/>
          <w:sz w:val="28"/>
          <w:szCs w:val="28"/>
          <w14:textFill>
            <w14:solidFill>
              <w14:schemeClr w14:val="tx1"/>
            </w14:solidFill>
          </w14:textFill>
        </w:rPr>
        <w:t>质量保证</w:t>
      </w:r>
      <w:bookmarkEnd w:id="69"/>
      <w:bookmarkEnd w:id="70"/>
      <w:bookmarkEnd w:id="71"/>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10.1乙方保证所承包的项目质量符合国家相关标准和规范。对产品质量依据原厂商标准及国家标准从严执行。</w:t>
      </w:r>
    </w:p>
    <w:p>
      <w:pPr>
        <w:spacing w:line="560" w:lineRule="exact"/>
        <w:ind w:firstLine="560" w:firstLineChars="200"/>
        <w:rPr>
          <w:rFonts w:hint="eastAsia" w:ascii="仿宋_GB2312" w:hAnsi="仿宋_GB2312" w:eastAsia="仿宋_GB2312" w:cs="仿宋_GB2312"/>
          <w:color w:val="000000" w:themeColor="text1"/>
          <w:kern w:val="0"/>
          <w:sz w:val="28"/>
          <w:szCs w:val="28"/>
          <w:lang w:val="zh-CN"/>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10.2本项目质量保修期为</w:t>
      </w:r>
      <w:r>
        <w:rPr>
          <w:rFonts w:hint="eastAsia" w:ascii="仿宋_GB2312" w:hAnsi="仿宋_GB2312" w:eastAsia="仿宋_GB2312" w:cs="仿宋_GB2312"/>
          <w:color w:val="000000" w:themeColor="text1"/>
          <w:kern w:val="0"/>
          <w:sz w:val="28"/>
          <w:szCs w:val="28"/>
          <w:lang w:val="zh-CN"/>
          <w14:textFill>
            <w14:solidFill>
              <w14:schemeClr w14:val="tx1"/>
            </w14:solidFill>
          </w14:textFill>
        </w:rPr>
        <w:t>自验收合格之日起</w:t>
      </w:r>
      <w:r>
        <w:rPr>
          <w:rFonts w:hint="eastAsia" w:ascii="仿宋_GB2312" w:hAnsi="仿宋_GB2312" w:eastAsia="仿宋_GB2312" w:cs="仿宋_GB2312"/>
          <w:color w:val="000000" w:themeColor="text1"/>
          <w:kern w:val="0"/>
          <w:sz w:val="28"/>
          <w:szCs w:val="28"/>
          <w:u w:val="single"/>
          <w14:textFill>
            <w14:solidFill>
              <w14:schemeClr w14:val="tx1"/>
            </w14:solidFill>
          </w14:textFill>
        </w:rPr>
        <w:t xml:space="preserve"> 1 </w:t>
      </w:r>
      <w:r>
        <w:rPr>
          <w:rFonts w:hint="eastAsia" w:ascii="仿宋_GB2312" w:hAnsi="仿宋_GB2312" w:eastAsia="仿宋_GB2312" w:cs="仿宋_GB2312"/>
          <w:color w:val="000000" w:themeColor="text1"/>
          <w:kern w:val="0"/>
          <w:sz w:val="28"/>
          <w:szCs w:val="28"/>
          <w:lang w:val="zh-CN"/>
          <w14:textFill>
            <w14:solidFill>
              <w14:schemeClr w14:val="tx1"/>
            </w14:solidFill>
          </w14:textFill>
        </w:rPr>
        <w:t>年</w:t>
      </w:r>
      <w:r>
        <w:rPr>
          <w:rFonts w:hint="eastAsia" w:ascii="仿宋_GB2312" w:hAnsi="仿宋_GB2312" w:eastAsia="仿宋_GB2312" w:cs="仿宋_GB2312"/>
          <w:color w:val="000000" w:themeColor="text1"/>
          <w:kern w:val="0"/>
          <w:sz w:val="28"/>
          <w:szCs w:val="28"/>
          <w14:textFill>
            <w14:solidFill>
              <w14:schemeClr w14:val="tx1"/>
            </w14:solidFill>
          </w14:textFill>
        </w:rPr>
        <w:t>,且不低于法定保修年限。</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10.3质量保修期期间，本项目的质量问题由乙方免费提供保修服务，乙方应在收到甲方通知后日内派人员到场负责解决及维修，如果乙方不按时到场维修或到场后不能修复的，甲方有权委托他人予以维修，乙方承担由此发生的费用并支付</w:t>
      </w:r>
      <w:r>
        <w:rPr>
          <w:rFonts w:hint="eastAsia" w:ascii="仿宋_GB2312" w:hAnsi="仿宋_GB2312" w:eastAsia="仿宋_GB2312" w:cs="仿宋_GB2312"/>
          <w:bCs/>
          <w:color w:val="000000" w:themeColor="text1"/>
          <w:sz w:val="28"/>
          <w:szCs w:val="28"/>
          <w:u w:val="single"/>
          <w14:textFill>
            <w14:solidFill>
              <w14:schemeClr w14:val="tx1"/>
            </w14:solidFill>
          </w14:textFill>
        </w:rPr>
        <w:t>合同暂定总价的10%/次</w:t>
      </w:r>
      <w:r>
        <w:rPr>
          <w:rFonts w:hint="eastAsia" w:ascii="仿宋_GB2312" w:hAnsi="仿宋_GB2312" w:eastAsia="仿宋_GB2312" w:cs="仿宋_GB2312"/>
          <w:bCs/>
          <w:color w:val="000000" w:themeColor="text1"/>
          <w:sz w:val="28"/>
          <w:szCs w:val="28"/>
          <w14:textFill>
            <w14:solidFill>
              <w14:schemeClr w14:val="tx1"/>
            </w14:solidFill>
          </w14:textFill>
        </w:rPr>
        <w:t>作为违约金。</w:t>
      </w:r>
    </w:p>
    <w:p>
      <w:pPr>
        <w:tabs>
          <w:tab w:val="left" w:pos="851"/>
        </w:tabs>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10.4约定的保修期限终止后，由乙方提出支付申请，甲方审核后</w:t>
      </w:r>
      <w:r>
        <w:rPr>
          <w:rFonts w:hint="eastAsia" w:ascii="仿宋_GB2312" w:hAnsi="仿宋_GB2312" w:eastAsia="仿宋_GB2312" w:cs="仿宋_GB2312"/>
          <w:color w:val="000000" w:themeColor="text1"/>
          <w:sz w:val="28"/>
          <w:szCs w:val="28"/>
          <w:u w:val="single"/>
          <w14:textFill>
            <w14:solidFill>
              <w14:schemeClr w14:val="tx1"/>
            </w14:solidFill>
          </w14:textFill>
        </w:rPr>
        <w:t>28日</w:t>
      </w:r>
      <w:r>
        <w:rPr>
          <w:rFonts w:hint="eastAsia" w:ascii="仿宋_GB2312" w:hAnsi="仿宋_GB2312" w:eastAsia="仿宋_GB2312" w:cs="仿宋_GB2312"/>
          <w:color w:val="000000" w:themeColor="text1"/>
          <w:sz w:val="28"/>
          <w:szCs w:val="28"/>
          <w14:textFill>
            <w14:solidFill>
              <w14:schemeClr w14:val="tx1"/>
            </w14:solidFill>
          </w14:textFill>
        </w:rPr>
        <w:t>内将剩余的质量保证金（无息）返还。</w:t>
      </w:r>
    </w:p>
    <w:p>
      <w:pPr>
        <w:spacing w:line="560" w:lineRule="exact"/>
        <w:ind w:firstLine="562"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bookmarkStart w:id="72" w:name="_Toc518993000"/>
      <w:bookmarkStart w:id="73" w:name="_Toc19692"/>
      <w:bookmarkStart w:id="74" w:name="_Toc306350467"/>
      <w:bookmarkStart w:id="75" w:name="_Toc520190040"/>
      <w:bookmarkStart w:id="76" w:name="_Toc474245226"/>
      <w:bookmarkStart w:id="77" w:name="_Toc183666531"/>
      <w:bookmarkStart w:id="78" w:name="_Toc107447255"/>
      <w:bookmarkStart w:id="79" w:name="_Toc107446862"/>
      <w:r>
        <w:rPr>
          <w:rFonts w:hint="eastAsia" w:ascii="仿宋_GB2312" w:hAnsi="仿宋_GB2312" w:eastAsia="仿宋_GB2312" w:cs="仿宋_GB2312"/>
          <w:b/>
          <w:bCs/>
          <w:color w:val="000000" w:themeColor="text1"/>
          <w:sz w:val="28"/>
          <w:szCs w:val="28"/>
          <w14:textFill>
            <w14:solidFill>
              <w14:schemeClr w14:val="tx1"/>
            </w14:solidFill>
          </w14:textFill>
        </w:rPr>
        <w:t>第十一条 不可抗力</w:t>
      </w:r>
      <w:bookmarkEnd w:id="72"/>
      <w:bookmarkEnd w:id="73"/>
      <w:bookmarkEnd w:id="74"/>
      <w:bookmarkEnd w:id="75"/>
      <w:bookmarkEnd w:id="76"/>
      <w:bookmarkEnd w:id="77"/>
      <w:bookmarkEnd w:id="78"/>
      <w:bookmarkEnd w:id="79"/>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bookmarkStart w:id="80" w:name="_Toc306350468"/>
      <w:bookmarkStart w:id="81" w:name="_Toc12010"/>
      <w:bookmarkStart w:id="82" w:name="_Toc183666532"/>
      <w:r>
        <w:rPr>
          <w:rFonts w:hint="eastAsia" w:ascii="仿宋_GB2312" w:hAnsi="仿宋_GB2312" w:eastAsia="仿宋_GB2312" w:cs="仿宋_GB2312"/>
          <w:bCs/>
          <w:color w:val="000000" w:themeColor="text1"/>
          <w:sz w:val="28"/>
          <w:szCs w:val="28"/>
          <w14:textFill>
            <w14:solidFill>
              <w14:schemeClr w14:val="tx1"/>
            </w14:solidFill>
          </w14:textFill>
        </w:rPr>
        <w:t>11.1任何一方因不可抗力无法全部或部分履行其在本合同项下的义务时，该方有权全部或部分中止履行本合同项下的义务，并不承担违约责任。不可抗力是指合同当事人在签订本合同时不可预见，在合同履行过程中不可避免且不能克服的客观情况，包括：</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（1）地震、火山爆发、滑坡、暴雨（橙色预警及以上）、台风（黄色预警及以上）、海啸、龙卷风、大面积流行病(如：非典型性肺炎等)或瘟疫；</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（2）战争行为、入侵、武装冲突或外敌行为、封锁、暴乱、恐怖行为或军事演习；</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11.2声称受到不可抗力影响的一方，应在发生不可抗力或知道发生不可抗力之后5日内书面通知另一方，详细描述不可抗力的发生情况和对该方履行在本合同项下义务的影响，同时附上此种不可抗力事件及其持续时间的有效证明文件。</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11.3因不可抗力导致合同无法履行的时间自该不可抗力发生日起连续超过玖拾(90)天，双方应协商决定继续履行本合同的条件或者变更本合同。如果自不可抗力发生后壹佰捌拾(180)天之内双方不能达成一致意见，任何一方有权解除本合同。</w:t>
      </w:r>
    </w:p>
    <w:p>
      <w:pPr>
        <w:spacing w:line="560" w:lineRule="exact"/>
        <w:ind w:firstLine="560" w:firstLineChars="200"/>
        <w:jc w:val="left"/>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11.4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bookmarkStart w:id="83" w:name="_Toc118172294"/>
      <w:bookmarkStart w:id="84" w:name="_Toc520190041"/>
      <w:bookmarkStart w:id="85" w:name="_Toc474245227"/>
      <w:bookmarkStart w:id="86" w:name="_Toc518993001"/>
      <w:bookmarkStart w:id="87" w:name="_Toc107446864"/>
      <w:bookmarkStart w:id="88" w:name="_Toc107447257"/>
    </w:p>
    <w:p>
      <w:pPr>
        <w:spacing w:line="560" w:lineRule="exact"/>
        <w:ind w:firstLine="562" w:firstLineChars="200"/>
        <w:jc w:val="left"/>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第十二条 争议解决</w:t>
      </w:r>
      <w:bookmarkEnd w:id="80"/>
      <w:bookmarkEnd w:id="81"/>
      <w:bookmarkEnd w:id="82"/>
      <w:bookmarkEnd w:id="83"/>
      <w:bookmarkEnd w:id="84"/>
      <w:bookmarkEnd w:id="85"/>
      <w:bookmarkEnd w:id="86"/>
      <w:bookmarkEnd w:id="87"/>
      <w:bookmarkEnd w:id="88"/>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bookmarkStart w:id="89" w:name="_Toc183666533"/>
      <w:bookmarkStart w:id="90" w:name="_Toc306350469"/>
      <w:r>
        <w:rPr>
          <w:rFonts w:hint="eastAsia" w:ascii="仿宋_GB2312" w:hAnsi="仿宋_GB2312" w:eastAsia="仿宋_GB2312" w:cs="仿宋_GB2312"/>
          <w:bCs/>
          <w:color w:val="000000" w:themeColor="text1"/>
          <w:sz w:val="28"/>
          <w:szCs w:val="28"/>
          <w14:textFill>
            <w14:solidFill>
              <w14:schemeClr w14:val="tx1"/>
            </w14:solidFill>
          </w14:textFill>
        </w:rPr>
        <w:t>12.1甲乙双方应通过友好协商，解决在执行本合同所发生的或与本合同有关的一切争议。如协商不能解决争议，任何一方均可依法向甲方所在地人民法院提起诉讼。</w:t>
      </w:r>
    </w:p>
    <w:p>
      <w:pPr>
        <w:spacing w:line="56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 xml:space="preserve">12.2 </w:t>
      </w:r>
      <w:r>
        <w:rPr>
          <w:rFonts w:hint="eastAsia" w:ascii="仿宋_GB2312" w:hAnsi="仿宋_GB2312" w:eastAsia="仿宋_GB2312" w:cs="仿宋_GB2312"/>
          <w:color w:val="000000" w:themeColor="text1"/>
          <w:sz w:val="28"/>
          <w:szCs w:val="28"/>
          <w14:textFill>
            <w14:solidFill>
              <w14:schemeClr w14:val="tx1"/>
            </w14:solidFill>
          </w14:textFill>
        </w:rPr>
        <w:t>在甲方同意的情况下，除有争端之外的合同其它部分在争端解决前应继续执行。</w:t>
      </w:r>
      <w:bookmarkEnd w:id="89"/>
      <w:bookmarkEnd w:id="90"/>
      <w:bookmarkStart w:id="91" w:name="_Toc520190043"/>
      <w:bookmarkStart w:id="92" w:name="_Toc518993003"/>
      <w:bookmarkStart w:id="93" w:name="_Toc474245229"/>
    </w:p>
    <w:p>
      <w:pPr>
        <w:spacing w:line="560" w:lineRule="exact"/>
        <w:ind w:firstLine="562" w:firstLineChars="200"/>
        <w:jc w:val="left"/>
        <w:rPr>
          <w:rFonts w:hint="eastAsia"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第十三条</w:t>
      </w:r>
      <w:bookmarkStart w:id="94" w:name="_Toc107447264"/>
      <w:bookmarkStart w:id="95" w:name="_Toc107446871"/>
      <w:r>
        <w:rPr>
          <w:rFonts w:hint="eastAsia" w:ascii="仿宋_GB2312" w:hAnsi="仿宋_GB2312" w:eastAsia="仿宋_GB2312" w:cs="仿宋_GB2312"/>
          <w:b/>
          <w:bCs/>
          <w:color w:val="000000" w:themeColor="text1"/>
          <w:sz w:val="28"/>
          <w:szCs w:val="28"/>
          <w14:textFill>
            <w14:solidFill>
              <w14:schemeClr w14:val="tx1"/>
            </w14:solidFill>
          </w14:textFill>
        </w:rPr>
        <w:t xml:space="preserve"> 合同生效及其他</w:t>
      </w:r>
      <w:bookmarkEnd w:id="91"/>
      <w:bookmarkEnd w:id="92"/>
      <w:bookmarkEnd w:id="93"/>
      <w:bookmarkEnd w:id="94"/>
      <w:bookmarkEnd w:id="95"/>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13.1本合同经双方法定代表人或授权代表签字并加盖双方公章后生效.</w:t>
      </w: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13.2本合同正文一式</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陆 </w:t>
      </w:r>
      <w:r>
        <w:rPr>
          <w:rFonts w:hint="eastAsia" w:ascii="仿宋_GB2312" w:hAnsi="仿宋_GB2312" w:eastAsia="仿宋_GB2312" w:cs="仿宋_GB2312"/>
          <w:color w:val="000000" w:themeColor="text1"/>
          <w:sz w:val="28"/>
          <w:szCs w:val="28"/>
          <w14:textFill>
            <w14:solidFill>
              <w14:schemeClr w14:val="tx1"/>
            </w14:solidFill>
          </w14:textFill>
        </w:rPr>
        <w:t>份，其中：甲方</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肆 </w:t>
      </w:r>
      <w:r>
        <w:rPr>
          <w:rFonts w:hint="eastAsia" w:ascii="仿宋_GB2312" w:hAnsi="仿宋_GB2312" w:eastAsia="仿宋_GB2312" w:cs="仿宋_GB2312"/>
          <w:color w:val="000000" w:themeColor="text1"/>
          <w:sz w:val="28"/>
          <w:szCs w:val="28"/>
          <w14:textFill>
            <w14:solidFill>
              <w14:schemeClr w14:val="tx1"/>
            </w14:solidFill>
          </w14:textFill>
        </w:rPr>
        <w:t>份，乙方</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贰 </w:t>
      </w:r>
      <w:r>
        <w:rPr>
          <w:rFonts w:hint="eastAsia" w:ascii="仿宋_GB2312" w:hAnsi="仿宋_GB2312" w:eastAsia="仿宋_GB2312" w:cs="仿宋_GB2312"/>
          <w:color w:val="000000" w:themeColor="text1"/>
          <w:sz w:val="28"/>
          <w:szCs w:val="28"/>
          <w14:textFill>
            <w14:solidFill>
              <w14:schemeClr w14:val="tx1"/>
            </w14:solidFill>
          </w14:textFill>
        </w:rPr>
        <w:t>份。</w:t>
      </w:r>
    </w:p>
    <w:p>
      <w:pPr>
        <w:spacing w:line="560" w:lineRule="exact"/>
        <w:ind w:firstLine="560" w:firstLineChars="200"/>
        <w:rPr>
          <w:rFonts w:hint="eastAsia"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13.3补充条款</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p>
    <w:p>
      <w:pPr>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p>
    <w:p>
      <w:pPr>
        <w:spacing w:line="560" w:lineRule="exact"/>
        <w:ind w:firstLine="560" w:firstLineChars="2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附件：1.成交通知书</w:t>
      </w:r>
    </w:p>
    <w:p>
      <w:pPr>
        <w:numPr>
          <w:ilvl w:val="255"/>
          <w:numId w:val="0"/>
        </w:numPr>
        <w:spacing w:line="560" w:lineRule="exact"/>
        <w:ind w:firstLine="1400" w:firstLineChars="5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2.廉洁协议</w:t>
      </w:r>
    </w:p>
    <w:p>
      <w:pPr>
        <w:spacing w:line="560" w:lineRule="exact"/>
        <w:ind w:firstLine="1400" w:firstLineChars="5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3.不履约行为的情形及相应被暂停参与投标活动的处理标准</w:t>
      </w:r>
    </w:p>
    <w:p>
      <w:pPr>
        <w:spacing w:line="560" w:lineRule="exact"/>
        <w:ind w:firstLine="1400" w:firstLineChars="5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4.营运场所施工安全及消防安全协议书</w:t>
      </w:r>
    </w:p>
    <w:p>
      <w:pPr>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          5.工程量清单报价</w:t>
      </w:r>
    </w:p>
    <w:p>
      <w:pPr>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          6.项目投入人员架构表 </w:t>
      </w:r>
    </w:p>
    <w:p>
      <w:pPr>
        <w:spacing w:line="560" w:lineRule="exact"/>
        <w:ind w:firstLine="1400" w:firstLineChars="5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7.应急救援物资清单</w:t>
      </w:r>
    </w:p>
    <w:p>
      <w:pPr>
        <w:spacing w:line="560" w:lineRule="exact"/>
        <w:ind w:firstLine="1400" w:firstLineChars="50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8.工人工资结清证明（模板）</w:t>
      </w:r>
    </w:p>
    <w:p>
      <w:pPr>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p>
    <w:p>
      <w:pPr>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甲方：广州市净水有限公司（盖章）      乙方：（盖章）</w:t>
      </w:r>
    </w:p>
    <w:p>
      <w:pPr>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法定代表或                             法定代表人或</w:t>
      </w:r>
    </w:p>
    <w:p>
      <w:pPr>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授权代理人：                           授权代理人：</w:t>
      </w:r>
    </w:p>
    <w:p>
      <w:pPr>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地址：                                 地址：</w:t>
      </w:r>
    </w:p>
    <w:p>
      <w:pPr>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经办人：                               经办人：</w:t>
      </w:r>
    </w:p>
    <w:p>
      <w:pPr>
        <w:spacing w:line="56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联系电话：                             联系电话：</w:t>
      </w:r>
    </w:p>
    <w:p>
      <w:pPr>
        <w:spacing w:line="560" w:lineRule="exact"/>
        <w:ind w:left="7420" w:hanging="7420" w:hangingChars="265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传真：                                 传真：</w:t>
      </w:r>
    </w:p>
    <w:p>
      <w:pPr>
        <w:spacing w:line="560" w:lineRule="exact"/>
        <w:ind w:left="7420" w:hanging="7420" w:hangingChars="2650"/>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签署日期：   年   月   日               签署日期：   年   月   日</w:t>
      </w:r>
    </w:p>
    <w:p>
      <w:pPr>
        <w:spacing w:line="360" w:lineRule="auto"/>
        <w:rPr>
          <w:rFonts w:hint="eastAsia" w:ascii="黑体" w:hAnsi="黑体" w:eastAsia="黑体" w:cs="黑体"/>
          <w:color w:val="000000" w:themeColor="text1"/>
          <w:sz w:val="32"/>
          <w:szCs w:val="32"/>
          <w14:textFill>
            <w14:solidFill>
              <w14:schemeClr w14:val="tx1"/>
            </w14:solidFill>
          </w14:textFill>
        </w:rPr>
      </w:pPr>
    </w:p>
    <w:p>
      <w:pPr>
        <w:jc w:val="left"/>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br w:type="page"/>
      </w:r>
    </w:p>
    <w:p>
      <w:pPr>
        <w:spacing w:line="360" w:lineRule="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附件1</w:t>
      </w:r>
    </w:p>
    <w:p>
      <w:pPr>
        <w:adjustRightInd w:val="0"/>
        <w:snapToGrid w:val="0"/>
        <w:jc w:val="center"/>
        <w:rPr>
          <w:rFonts w:hint="eastAsia" w:ascii="方正小标宋简体" w:eastAsia="方正小标宋简体" w:hAnsiTheme="majorEastAsia"/>
          <w:sz w:val="44"/>
          <w:szCs w:val="44"/>
        </w:rPr>
      </w:pPr>
      <w:r>
        <w:rPr>
          <w:rFonts w:hint="eastAsia" w:ascii="方正小标宋简体" w:eastAsia="方正小标宋简体" w:hAnsiTheme="majorEastAsia"/>
          <w:sz w:val="44"/>
          <w:szCs w:val="44"/>
        </w:rPr>
        <w:t>成交通知书</w:t>
      </w:r>
    </w:p>
    <w:p>
      <w:pPr>
        <w:pStyle w:val="40"/>
      </w:pPr>
    </w:p>
    <w:p>
      <w:pPr>
        <w:pStyle w:val="40"/>
        <w:ind w:firstLine="3465" w:firstLineChars="1650"/>
        <w:rPr>
          <w:rFonts w:ascii="仿宋_GB2312" w:eastAsia="仿宋_GB2312"/>
        </w:rPr>
      </w:pPr>
      <w:r>
        <w:rPr>
          <w:rFonts w:hint="eastAsia" w:ascii="仿宋_GB2312" w:eastAsia="仿宋_GB2312"/>
        </w:rPr>
        <w:t>（编号：</w:t>
      </w:r>
      <w:r>
        <w:rPr>
          <w:rFonts w:ascii="仿宋_GB2312" w:eastAsia="仿宋_GB2312"/>
        </w:rPr>
        <w:t xml:space="preserve">        </w:t>
      </w:r>
      <w:r>
        <w:rPr>
          <w:rFonts w:hint="eastAsia" w:ascii="仿宋_GB2312" w:eastAsia="仿宋_GB2312"/>
        </w:rPr>
        <w:t>）</w:t>
      </w:r>
    </w:p>
    <w:p>
      <w:pPr>
        <w:adjustRightInd w:val="0"/>
        <w:snapToGrid w:val="0"/>
        <w:spacing w:line="600" w:lineRule="exact"/>
        <w:jc w:val="left"/>
        <w:rPr>
          <w:rFonts w:hint="eastAsia" w:ascii="仿宋_GB2312" w:eastAsia="仿宋_GB2312" w:hAnsiTheme="majorEastAsia"/>
          <w:sz w:val="28"/>
          <w:szCs w:val="28"/>
        </w:rPr>
      </w:pPr>
      <w:r>
        <w:rPr>
          <w:rFonts w:hint="eastAsia" w:ascii="仿宋_GB2312" w:eastAsia="仿宋_GB2312" w:hAnsiTheme="majorEastAsia"/>
          <w:sz w:val="28"/>
          <w:szCs w:val="28"/>
          <w:u w:val="single"/>
        </w:rPr>
        <w:t xml:space="preserve">   （成交供应商名称）    </w:t>
      </w:r>
      <w:r>
        <w:rPr>
          <w:rFonts w:hint="eastAsia" w:ascii="仿宋_GB2312" w:eastAsia="仿宋_GB2312" w:hAnsiTheme="majorEastAsia"/>
          <w:sz w:val="28"/>
          <w:szCs w:val="28"/>
        </w:rPr>
        <w:t>：</w:t>
      </w:r>
    </w:p>
    <w:p>
      <w:pPr>
        <w:adjustRightInd w:val="0"/>
        <w:snapToGrid w:val="0"/>
        <w:spacing w:line="600" w:lineRule="exact"/>
        <w:ind w:firstLine="570"/>
        <w:jc w:val="left"/>
        <w:rPr>
          <w:rFonts w:hint="eastAsia" w:ascii="仿宋_GB2312" w:eastAsia="仿宋_GB2312" w:hAnsiTheme="majorEastAsia"/>
          <w:sz w:val="28"/>
          <w:szCs w:val="28"/>
        </w:rPr>
      </w:pPr>
      <w:r>
        <w:rPr>
          <w:rFonts w:hint="eastAsia" w:ascii="仿宋_GB2312" w:eastAsia="仿宋_GB2312" w:hAnsiTheme="majorEastAsia"/>
          <w:sz w:val="28"/>
          <w:szCs w:val="28"/>
        </w:rPr>
        <w:t>你方递交的响应文件已被我方接受，你方已被确认为</w:t>
      </w:r>
      <w:r>
        <w:rPr>
          <w:rFonts w:hint="eastAsia" w:ascii="仿宋_GB2312" w:eastAsia="仿宋_GB2312" w:hAnsiTheme="majorEastAsia"/>
          <w:sz w:val="28"/>
          <w:szCs w:val="28"/>
          <w:u w:val="single"/>
        </w:rPr>
        <w:t xml:space="preserve">      项目</w:t>
      </w:r>
      <w:r>
        <w:rPr>
          <w:rFonts w:hint="eastAsia" w:ascii="仿宋_GB2312" w:eastAsia="仿宋_GB2312" w:hAnsiTheme="majorEastAsia"/>
          <w:sz w:val="28"/>
          <w:szCs w:val="28"/>
        </w:rPr>
        <w:t>的成交供应商。</w:t>
      </w:r>
    </w:p>
    <w:p>
      <w:pPr>
        <w:adjustRightInd w:val="0"/>
        <w:snapToGrid w:val="0"/>
        <w:spacing w:line="600" w:lineRule="exact"/>
        <w:jc w:val="left"/>
        <w:rPr>
          <w:rFonts w:hint="eastAsia" w:ascii="仿宋_GB2312" w:eastAsia="仿宋_GB2312" w:hAnsiTheme="majorEastAsia"/>
          <w:sz w:val="28"/>
          <w:szCs w:val="28"/>
        </w:rPr>
      </w:pPr>
      <w:r>
        <w:rPr>
          <w:rFonts w:hint="eastAsia" w:ascii="仿宋_GB2312" w:eastAsia="仿宋_GB2312" w:hAnsiTheme="majorEastAsia"/>
          <w:sz w:val="28"/>
          <w:szCs w:val="28"/>
        </w:rPr>
        <w:t>成交金额，大写：</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，小写：</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 xml:space="preserve"> 。</w:t>
      </w:r>
    </w:p>
    <w:p>
      <w:pPr>
        <w:adjustRightInd w:val="0"/>
        <w:snapToGrid w:val="0"/>
        <w:spacing w:line="600" w:lineRule="exact"/>
        <w:jc w:val="left"/>
        <w:rPr>
          <w:rFonts w:hint="eastAsia" w:ascii="仿宋_GB2312" w:eastAsia="仿宋_GB2312" w:hAnsiTheme="majorEastAsia"/>
          <w:sz w:val="28"/>
          <w:szCs w:val="28"/>
        </w:rPr>
      </w:pPr>
      <w:r>
        <w:rPr>
          <w:rFonts w:hint="eastAsia" w:ascii="仿宋_GB2312" w:eastAsia="仿宋_GB2312" w:hAnsiTheme="majorEastAsia"/>
          <w:sz w:val="28"/>
          <w:szCs w:val="28"/>
        </w:rPr>
        <w:t>请你方在接到本通知书后的</w:t>
      </w:r>
      <w:r>
        <w:rPr>
          <w:rFonts w:hint="eastAsia" w:ascii="仿宋_GB2312" w:eastAsia="仿宋_GB2312" w:hAnsiTheme="majorEastAsia"/>
          <w:sz w:val="28"/>
          <w:szCs w:val="28"/>
          <w:u w:val="single"/>
        </w:rPr>
        <w:t>30</w:t>
      </w:r>
      <w:r>
        <w:rPr>
          <w:rFonts w:hint="eastAsia" w:ascii="仿宋_GB2312" w:eastAsia="仿宋_GB2312" w:hAnsiTheme="majorEastAsia"/>
          <w:sz w:val="28"/>
          <w:szCs w:val="28"/>
        </w:rPr>
        <w:t>日内与我方签订采购合同，逾期视为自动放弃成交资格。</w:t>
      </w:r>
    </w:p>
    <w:p>
      <w:pPr>
        <w:adjustRightInd w:val="0"/>
        <w:snapToGrid w:val="0"/>
        <w:spacing w:line="600" w:lineRule="exact"/>
        <w:jc w:val="left"/>
        <w:rPr>
          <w:rFonts w:hint="eastAsia" w:asciiTheme="majorEastAsia" w:hAnsiTheme="majorEastAsia" w:eastAsiaTheme="majorEastAsia"/>
          <w:b/>
          <w:sz w:val="28"/>
          <w:szCs w:val="28"/>
        </w:rPr>
      </w:pPr>
    </w:p>
    <w:p>
      <w:pPr>
        <w:adjustRightInd w:val="0"/>
        <w:snapToGrid w:val="0"/>
        <w:spacing w:line="600" w:lineRule="exact"/>
        <w:ind w:firstLine="4760" w:firstLineChars="1700"/>
        <w:jc w:val="left"/>
        <w:rPr>
          <w:rFonts w:hint="eastAsia" w:ascii="仿宋_GB2312" w:eastAsia="仿宋_GB2312" w:hAnsiTheme="majorEastAsia"/>
          <w:sz w:val="28"/>
          <w:szCs w:val="28"/>
        </w:rPr>
      </w:pPr>
      <w:r>
        <w:rPr>
          <w:rFonts w:hint="eastAsia" w:ascii="仿宋_GB2312" w:eastAsia="仿宋_GB2312" w:hAnsiTheme="majorEastAsia"/>
          <w:sz w:val="28"/>
          <w:szCs w:val="28"/>
        </w:rPr>
        <w:t>采购人：</w:t>
      </w:r>
      <w:r>
        <w:rPr>
          <w:rFonts w:hint="eastAsia" w:asciiTheme="majorEastAsia" w:hAnsiTheme="majorEastAsia" w:eastAsiaTheme="majorEastAsia"/>
          <w:b/>
          <w:sz w:val="28"/>
          <w:szCs w:val="28"/>
          <w:u w:val="single"/>
        </w:rPr>
        <w:t xml:space="preserve">          </w:t>
      </w:r>
      <w:r>
        <w:rPr>
          <w:rFonts w:hint="eastAsia" w:ascii="仿宋_GB2312" w:eastAsia="仿宋_GB2312" w:hAnsiTheme="majorEastAsia"/>
          <w:sz w:val="28"/>
          <w:szCs w:val="28"/>
        </w:rPr>
        <w:t>（公章）</w:t>
      </w:r>
    </w:p>
    <w:p>
      <w:pPr>
        <w:adjustRightInd w:val="0"/>
        <w:snapToGrid w:val="0"/>
        <w:spacing w:line="600" w:lineRule="exact"/>
        <w:ind w:firstLine="5451" w:firstLineChars="1947"/>
        <w:jc w:val="left"/>
        <w:rPr>
          <w:rFonts w:hint="eastAsia" w:ascii="仿宋_GB2312" w:eastAsia="仿宋_GB2312" w:hAnsiTheme="majorEastAsia"/>
          <w:sz w:val="28"/>
          <w:szCs w:val="28"/>
        </w:rPr>
      </w:pPr>
      <w:r>
        <w:rPr>
          <w:rFonts w:hint="eastAsia" w:ascii="仿宋_GB2312" w:eastAsia="仿宋_GB2312" w:hAnsiTheme="majorEastAsia"/>
          <w:sz w:val="28"/>
          <w:szCs w:val="28"/>
        </w:rPr>
        <w:t xml:space="preserve"> </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p>
    <w:p>
      <w:pPr>
        <w:spacing w:line="360" w:lineRule="auto"/>
        <w:rPr>
          <w:rFonts w:hint="eastAsia" w:ascii="黑体" w:hAnsi="黑体" w:eastAsia="黑体" w:cs="黑体"/>
          <w:color w:val="000000" w:themeColor="text1"/>
          <w:sz w:val="32"/>
          <w:szCs w:val="32"/>
          <w14:textFill>
            <w14:solidFill>
              <w14:schemeClr w14:val="tx1"/>
            </w14:solidFill>
          </w14:textFill>
        </w:rPr>
      </w:pPr>
    </w:p>
    <w:p>
      <w:pPr>
        <w:spacing w:line="360" w:lineRule="auto"/>
        <w:rPr>
          <w:rFonts w:hint="eastAsia" w:ascii="黑体" w:hAnsi="黑体" w:eastAsia="黑体" w:cs="黑体"/>
          <w:color w:val="000000" w:themeColor="text1"/>
          <w:sz w:val="32"/>
          <w:szCs w:val="32"/>
          <w14:textFill>
            <w14:solidFill>
              <w14:schemeClr w14:val="tx1"/>
            </w14:solidFill>
          </w14:textFill>
        </w:rPr>
      </w:pPr>
    </w:p>
    <w:p>
      <w:pPr>
        <w:jc w:val="left"/>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br w:type="page"/>
      </w:r>
    </w:p>
    <w:p>
      <w:pPr>
        <w:spacing w:line="360" w:lineRule="auto"/>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附件2</w:t>
      </w:r>
    </w:p>
    <w:p>
      <w:pPr>
        <w:spacing w:line="560" w:lineRule="exact"/>
        <w:jc w:val="cente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廉洁协议</w:t>
      </w:r>
    </w:p>
    <w:p>
      <w:pPr>
        <w:spacing w:line="560" w:lineRule="exact"/>
        <w:ind w:firstLine="630" w:firstLineChars="225"/>
        <w:rPr>
          <w:rFonts w:hint="eastAsia" w:ascii="仿宋_GB2312" w:hAnsi="仿宋_GB2312" w:eastAsia="仿宋_GB2312" w:cs="仿宋_GB2312"/>
          <w:bCs/>
          <w:color w:val="000000" w:themeColor="text1"/>
          <w:sz w:val="28"/>
          <w:szCs w:val="28"/>
          <w14:textFill>
            <w14:solidFill>
              <w14:schemeClr w14:val="tx1"/>
            </w14:solidFill>
          </w14:textFill>
        </w:rPr>
      </w:pPr>
    </w:p>
    <w:p>
      <w:pPr>
        <w:spacing w:line="560" w:lineRule="exact"/>
        <w:ind w:firstLine="630" w:firstLineChars="225"/>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为促进双方诚信经营、廉洁从业，防范商业贿赂，保护国家、集体和当事人的合法权益，根据国家有关法律法规和广东省、广州市廉政建设的规定，</w:t>
      </w:r>
      <w:r>
        <w:rPr>
          <w:rFonts w:hint="eastAsia" w:ascii="仿宋_GB2312" w:hAnsi="仿宋_GB2312" w:eastAsia="仿宋_GB2312" w:cs="仿宋_GB2312"/>
          <w:bCs/>
          <w:color w:val="000000" w:themeColor="text1"/>
          <w:sz w:val="28"/>
          <w:szCs w:val="28"/>
          <w:u w:val="single"/>
          <w14:textFill>
            <w14:solidFill>
              <w14:schemeClr w14:val="tx1"/>
            </w14:solidFill>
          </w14:textFill>
        </w:rPr>
        <w:t>广州市净水有限公司</w:t>
      </w:r>
      <w:r>
        <w:rPr>
          <w:rFonts w:hint="eastAsia" w:ascii="仿宋_GB2312" w:hAnsi="仿宋_GB2312" w:eastAsia="仿宋_GB2312" w:cs="仿宋_GB2312"/>
          <w:bCs/>
          <w:color w:val="000000" w:themeColor="text1"/>
          <w:sz w:val="28"/>
          <w:szCs w:val="28"/>
          <w14:textFill>
            <w14:solidFill>
              <w14:schemeClr w14:val="tx1"/>
            </w14:solidFill>
          </w14:textFill>
        </w:rPr>
        <w:t>(以下称甲方)与</w:t>
      </w:r>
      <w:r>
        <w:rPr>
          <w:rFonts w:hint="eastAsia" w:ascii="仿宋_GB2312" w:hAnsi="仿宋_GB2312" w:eastAsia="仿宋_GB2312" w:cs="仿宋_GB2312"/>
          <w:bCs/>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bCs/>
          <w:color w:val="000000" w:themeColor="text1"/>
          <w:sz w:val="28"/>
          <w:szCs w:val="28"/>
          <w14:textFill>
            <w14:solidFill>
              <w14:schemeClr w14:val="tx1"/>
            </w14:solidFill>
          </w14:textFill>
        </w:rPr>
        <w:t>(以下称乙方)，特此订立本协议共同遵照执行。</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第一条 甲乙双方的权利和义务</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（一）甲乙双方严格遵守国家关于市场准入、项目招标投标、市场经营活动等有关法律、法规相关政策及廉政建设的各项规定。</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（二）严格执行</w:t>
      </w:r>
      <w:r>
        <w:rPr>
          <w:rFonts w:hint="eastAsia" w:ascii="仿宋_GB2312" w:hAnsi="仿宋_GB2312" w:eastAsia="仿宋_GB2312" w:cs="仿宋_GB2312"/>
          <w:bCs/>
          <w:color w:val="000000" w:themeColor="text1"/>
          <w:sz w:val="28"/>
          <w:szCs w:val="28"/>
          <w:u w:val="single"/>
          <w14:textFill>
            <w14:solidFill>
              <w14:schemeClr w14:val="tx1"/>
            </w14:solidFill>
          </w14:textFill>
        </w:rPr>
        <w:t xml:space="preserve">   京溪分公司生产区域车辆安全管理监控系统改造项目  </w:t>
      </w:r>
      <w:r>
        <w:rPr>
          <w:rFonts w:hint="eastAsia" w:ascii="仿宋_GB2312" w:hAnsi="仿宋_GB2312" w:eastAsia="仿宋_GB2312" w:cs="仿宋_GB2312"/>
          <w:bCs/>
          <w:color w:val="000000" w:themeColor="text1"/>
          <w:sz w:val="28"/>
          <w:szCs w:val="28"/>
          <w14:textFill>
            <w14:solidFill>
              <w14:schemeClr w14:val="tx1"/>
            </w14:solidFill>
          </w14:textFill>
        </w:rPr>
        <w:t>合同（以下简称：主合同），自觉履行合同约定的相关义务。</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（三）在业务活动中坚持公开、公正、诚信、透明的原则，不得损害国家、集体利益。</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（四）建立健全廉洁从业制度，开展廉洁教育，公布举报电话，监督并认真查处不廉洁及违法违纪行为。</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（五）发现对方在业务活动中有不廉洁行为，应及时提醒对方纠正。情节严重的，应向其有关监督部门检举。</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第二条甲方的义务</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（一）甲方及其工作人员不得索要或接受乙方的礼金、有价证券和贵重物品，不得在乙方报销任何应由甲方或个人支付的费用等。</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（三）甲方及其工作人员不得要求或者接受乙方为其住房装修、婚丧嫁娶活动、配偶子女工作安排以及出国出境、旅游等提供方便等。</w:t>
      </w:r>
    </w:p>
    <w:p>
      <w:pPr>
        <w:spacing w:line="560" w:lineRule="exact"/>
        <w:ind w:left="15" w:leftChars="7"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（四）甲方工作人员不得在乙方或与乙方有股权关联的企业兼职，不得向乙方介绍家属或者亲友从事与甲方业务有关的经济活动。</w:t>
      </w:r>
    </w:p>
    <w:p>
      <w:pPr>
        <w:spacing w:line="560" w:lineRule="exact"/>
        <w:ind w:left="15" w:leftChars="7"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pPr>
        <w:spacing w:line="560" w:lineRule="exact"/>
        <w:ind w:left="15" w:leftChars="7"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（六）甲方工作人员不得利用职务之便收受乙方以回扣、手续费、加班费、咨询费、劳务费、协调费、辛苦费等各种名义给予或赠送的钱物。</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（七）甲方工作人员不得接受乙方给予或赠送的干股或红利。</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（八）不得存在其他违反廉洁规定的行为。</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第三条乙方的义务</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（一）乙方不得以任何理由向甲方及其工作人员行贿或馈赠礼金、有价证券、贵重礼品。</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（二)乙方不得以任何名义为甲方及其工作人员报销应由甲方单位或个人支付的任何费用。</w:t>
      </w:r>
    </w:p>
    <w:p>
      <w:pPr>
        <w:spacing w:line="560" w:lineRule="exact"/>
        <w:ind w:left="25" w:leftChars="12"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（三）乙方不得以任何理由安排甲方工作人员参加可能影响相关业务公开、公正、公平性的宴请及娱乐活动。</w:t>
      </w:r>
    </w:p>
    <w:p>
      <w:pPr>
        <w:pStyle w:val="15"/>
        <w:rPr>
          <w:rFonts w:hint="eastAsia" w:ascii="仿宋_GB2312" w:hAnsi="仿宋_GB2312" w:eastAsia="仿宋_GB2312" w:cs="仿宋_GB2312"/>
          <w:bCs/>
          <w:color w:val="000000" w:themeColor="text1"/>
          <w:kern w:val="2"/>
          <w:sz w:val="28"/>
          <w:szCs w:val="28"/>
          <w14:textFill>
            <w14:solidFill>
              <w14:schemeClr w14:val="tx1"/>
            </w14:solidFill>
          </w14:textFill>
        </w:rPr>
      </w:pPr>
      <w:r>
        <w:rPr>
          <w:rFonts w:hint="eastAsia" w:ascii="仿宋_GB2312" w:hAnsi="仿宋_GB2312" w:eastAsia="仿宋_GB2312" w:cs="仿宋_GB2312"/>
          <w:bCs/>
          <w:color w:val="000000" w:themeColor="text1"/>
          <w:kern w:val="2"/>
          <w:sz w:val="28"/>
          <w:szCs w:val="28"/>
          <w14:textFill>
            <w14:solidFill>
              <w14:schemeClr w14:val="tx1"/>
            </w14:solidFill>
          </w14:textFill>
        </w:rPr>
        <w:t>（四）乙方不得为甲方单位和个人购置或提供通讯工具和高档办公用品等物品，也不得为甲方提供与工作无关的房屋、汽车等。</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（五）乙方不得擅自与甲方工作人员就主合同中的质量、数量、价格、工程量、验收等条款进行私下商谈或者达成默契。</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（六）乙方不得以回扣、手续费、加班费、咨询费、劳务费、协调费、辛苦费等各种名义向甲方工作人员给予或赠送钱物。</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（七）乙方不得向甲方工作人员提供干股或红利。</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（八）不得存在其他违反廉洁规定的行为。</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第四条违约责任</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（一）甲方及其工作人员违反本协议第一、二条。甲方按管理权限，对相关责任人依据有关规定给予处理；涉嫌犯罪的，移交司法机关追究刑事责任；给乙方单位造成经济损失的，应予以赔偿。</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甲方举报投诉联系部门：广州市净水有限公司</w:t>
      </w:r>
      <w:r>
        <w:rPr>
          <w:rFonts w:hint="eastAsia" w:ascii="仿宋_GB2312" w:hAnsi="仿宋_GB2312" w:eastAsia="仿宋_GB2312" w:cs="仿宋_GB2312"/>
          <w:bCs/>
          <w:color w:val="000000" w:themeColor="text1"/>
          <w:sz w:val="28"/>
          <w:szCs w:val="28"/>
          <w:u w:val="single"/>
          <w14:textFill>
            <w14:solidFill>
              <w14:schemeClr w14:val="tx1"/>
            </w14:solidFill>
          </w14:textFill>
        </w:rPr>
        <w:t>纪检室</w:t>
      </w:r>
      <w:r>
        <w:rPr>
          <w:rFonts w:hint="eastAsia" w:ascii="仿宋_GB2312" w:hAnsi="仿宋_GB2312" w:eastAsia="仿宋_GB2312" w:cs="仿宋_GB2312"/>
          <w:bCs/>
          <w:color w:val="000000" w:themeColor="text1"/>
          <w:sz w:val="28"/>
          <w:szCs w:val="28"/>
          <w14:textFill>
            <w14:solidFill>
              <w14:schemeClr w14:val="tx1"/>
            </w14:solidFill>
          </w14:textFill>
        </w:rPr>
        <w:t>，联系电话：</w:t>
      </w:r>
      <w:r>
        <w:rPr>
          <w:rFonts w:hint="eastAsia" w:ascii="仿宋_GB2312" w:hAnsi="仿宋_GB2312" w:eastAsia="仿宋_GB2312" w:cs="仿宋_GB2312"/>
          <w:bCs/>
          <w:color w:val="000000" w:themeColor="text1"/>
          <w:sz w:val="28"/>
          <w:szCs w:val="28"/>
          <w:u w:val="single"/>
          <w14:textFill>
            <w14:solidFill>
              <w14:schemeClr w14:val="tx1"/>
            </w14:solidFill>
          </w14:textFill>
        </w:rPr>
        <w:t xml:space="preserve"> 020-38890265 </w:t>
      </w:r>
      <w:r>
        <w:rPr>
          <w:rFonts w:hint="eastAsia" w:ascii="仿宋_GB2312" w:hAnsi="仿宋_GB2312" w:eastAsia="仿宋_GB2312" w:cs="仿宋_GB2312"/>
          <w:bCs/>
          <w:color w:val="000000" w:themeColor="text1"/>
          <w:sz w:val="28"/>
          <w:szCs w:val="28"/>
          <w14:textFill>
            <w14:solidFill>
              <w14:schemeClr w14:val="tx1"/>
            </w14:solidFill>
          </w14:textFill>
        </w:rPr>
        <w:t>。</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二）乙方及其工作人员存在违反本协议第一、三条规定、或在甲方招标、询价等过程中违反法律法规中的廉洁规定的行为，无论该行为是否与主合同有关，甲方均有权根据具体情节和造成的后果，对乙方采取以下处理方式：</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1、扣除主合同的全部履约保证金；</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2、解除主合同；</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3、追究乙方其他违约责任；</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4、根据甲方的有关规章制度，在一定时间内暂停乙方参与甲方及下属单位所有项目的交易资格；</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5、根据甲方的有关规章制度，将乙方清退出甲方相关企业库；</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6、根据甲方上级单位、行政主管部门的意见、决定执行；</w:t>
      </w:r>
    </w:p>
    <w:p>
      <w:pPr>
        <w:pStyle w:val="23"/>
        <w:widowControl w:val="0"/>
        <w:spacing w:before="0" w:beforeAutospacing="0" w:after="0" w:afterAutospacing="0"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7、按规定向有关行政监督部门、乙方业务管理部门进行投诉、报告。</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乙方无条件接受甲方的处理决定并承担给甲方造成的损失，全额返还通过不正当手段获取的非法所得，并承担相应的法律责任。</w:t>
      </w:r>
    </w:p>
    <w:p>
      <w:pPr>
        <w:spacing w:line="560" w:lineRule="exact"/>
        <w:ind w:firstLine="560" w:firstLineChars="200"/>
        <w:rPr>
          <w:rFonts w:hint="eastAsia" w:ascii="仿宋_GB2312" w:hAnsi="仿宋_GB2312" w:eastAsia="仿宋_GB2312" w:cs="仿宋_GB2312"/>
          <w:bCs/>
          <w:color w:val="000000" w:themeColor="text1"/>
          <w:kern w:val="0"/>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第五条</w:t>
      </w:r>
      <w:r>
        <w:rPr>
          <w:rFonts w:hint="eastAsia" w:ascii="仿宋_GB2312" w:hAnsi="仿宋_GB2312" w:eastAsia="仿宋_GB2312" w:cs="仿宋_GB2312"/>
          <w:bCs/>
          <w:color w:val="000000" w:themeColor="text1"/>
          <w:kern w:val="0"/>
          <w:sz w:val="28"/>
          <w:szCs w:val="28"/>
          <w14:textFill>
            <w14:solidFill>
              <w14:schemeClr w14:val="tx1"/>
            </w14:solidFill>
          </w14:textFill>
        </w:rPr>
        <w:t xml:space="preserve">本协议执行情况，接受有管辖权的纪检、监察部门的监督，双方应予以配合检查调查。 </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第六条本协议作为</w:t>
      </w:r>
      <w:r>
        <w:rPr>
          <w:rFonts w:hint="eastAsia" w:ascii="仿宋_GB2312" w:hAnsi="仿宋_GB2312" w:eastAsia="仿宋_GB2312" w:cs="仿宋_GB2312"/>
          <w:bCs/>
          <w:color w:val="000000" w:themeColor="text1"/>
          <w:sz w:val="28"/>
          <w:szCs w:val="28"/>
          <w:u w:val="single"/>
          <w14:textFill>
            <w14:solidFill>
              <w14:schemeClr w14:val="tx1"/>
            </w14:solidFill>
          </w14:textFill>
        </w:rPr>
        <w:t>（京溪分公司生产区域车辆安全管理监控系统改造项目）+（穗净水合[    ]    号）</w:t>
      </w:r>
      <w:r>
        <w:rPr>
          <w:rFonts w:hint="eastAsia" w:ascii="仿宋_GB2312" w:hAnsi="仿宋_GB2312" w:eastAsia="仿宋_GB2312" w:cs="仿宋_GB2312"/>
          <w:bCs/>
          <w:color w:val="000000" w:themeColor="text1"/>
          <w:sz w:val="28"/>
          <w:szCs w:val="28"/>
          <w14:textFill>
            <w14:solidFill>
              <w14:schemeClr w14:val="tx1"/>
            </w14:solidFill>
          </w14:textFill>
        </w:rPr>
        <w:t>合同的附件，并具有同等的法律效力，本协议自双方签字盖章之日起生效，与主合同同时终止。</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第七条本协议一式</w:t>
      </w:r>
      <w:r>
        <w:rPr>
          <w:rFonts w:hint="eastAsia" w:ascii="仿宋_GB2312" w:hAnsi="仿宋_GB2312" w:eastAsia="仿宋_GB2312" w:cs="仿宋_GB2312"/>
          <w:bCs/>
          <w:color w:val="000000" w:themeColor="text1"/>
          <w:sz w:val="28"/>
          <w:szCs w:val="28"/>
          <w:u w:val="single"/>
          <w14:textFill>
            <w14:solidFill>
              <w14:schemeClr w14:val="tx1"/>
            </w14:solidFill>
          </w14:textFill>
        </w:rPr>
        <w:t>…</w:t>
      </w:r>
      <w:r>
        <w:rPr>
          <w:rFonts w:hint="eastAsia" w:ascii="仿宋_GB2312" w:hAnsi="仿宋_GB2312" w:eastAsia="仿宋_GB2312" w:cs="仿宋_GB2312"/>
          <w:bCs/>
          <w:color w:val="000000" w:themeColor="text1"/>
          <w:sz w:val="28"/>
          <w:szCs w:val="28"/>
          <w14:textFill>
            <w14:solidFill>
              <w14:schemeClr w14:val="tx1"/>
            </w14:solidFill>
          </w14:textFill>
        </w:rPr>
        <w:t>份，甲方</w:t>
      </w:r>
      <w:r>
        <w:rPr>
          <w:rFonts w:hint="eastAsia" w:ascii="仿宋_GB2312" w:hAnsi="仿宋_GB2312" w:eastAsia="仿宋_GB2312" w:cs="仿宋_GB2312"/>
          <w:bCs/>
          <w:color w:val="000000" w:themeColor="text1"/>
          <w:sz w:val="28"/>
          <w:szCs w:val="28"/>
          <w:u w:val="single"/>
          <w14:textFill>
            <w14:solidFill>
              <w14:schemeClr w14:val="tx1"/>
            </w14:solidFill>
          </w14:textFill>
        </w:rPr>
        <w:t>…</w:t>
      </w:r>
      <w:r>
        <w:rPr>
          <w:rFonts w:hint="eastAsia" w:ascii="仿宋_GB2312" w:hAnsi="仿宋_GB2312" w:eastAsia="仿宋_GB2312" w:cs="仿宋_GB2312"/>
          <w:bCs/>
          <w:color w:val="000000" w:themeColor="text1"/>
          <w:sz w:val="28"/>
          <w:szCs w:val="28"/>
          <w14:textFill>
            <w14:solidFill>
              <w14:schemeClr w14:val="tx1"/>
            </w14:solidFill>
          </w14:textFill>
        </w:rPr>
        <w:t>份，乙方</w:t>
      </w:r>
      <w:r>
        <w:rPr>
          <w:rFonts w:hint="eastAsia" w:ascii="仿宋_GB2312" w:hAnsi="仿宋_GB2312" w:eastAsia="仿宋_GB2312" w:cs="仿宋_GB2312"/>
          <w:bCs/>
          <w:color w:val="000000" w:themeColor="text1"/>
          <w:sz w:val="28"/>
          <w:szCs w:val="28"/>
          <w:u w:val="single"/>
          <w14:textFill>
            <w14:solidFill>
              <w14:schemeClr w14:val="tx1"/>
            </w14:solidFill>
          </w14:textFill>
        </w:rPr>
        <w:t>…</w:t>
      </w:r>
      <w:r>
        <w:rPr>
          <w:rFonts w:hint="eastAsia" w:ascii="仿宋_GB2312" w:hAnsi="仿宋_GB2312" w:eastAsia="仿宋_GB2312" w:cs="仿宋_GB2312"/>
          <w:bCs/>
          <w:color w:val="000000" w:themeColor="text1"/>
          <w:sz w:val="28"/>
          <w:szCs w:val="28"/>
          <w14:textFill>
            <w14:solidFill>
              <w14:schemeClr w14:val="tx1"/>
            </w14:solidFill>
          </w14:textFill>
        </w:rPr>
        <w:t>份。</w:t>
      </w:r>
    </w:p>
    <w:p>
      <w:pPr>
        <w:spacing w:line="560" w:lineRule="exact"/>
        <w:ind w:firstLine="560" w:firstLineChars="200"/>
        <w:rPr>
          <w:rFonts w:hint="eastAsia" w:ascii="仿宋_GB2312" w:hAnsi="仿宋_GB2312" w:eastAsia="仿宋_GB2312" w:cs="仿宋_GB2312"/>
          <w:bCs/>
          <w:color w:val="000000" w:themeColor="text1"/>
          <w:sz w:val="28"/>
          <w:szCs w:val="28"/>
          <w14:textFill>
            <w14:solidFill>
              <w14:schemeClr w14:val="tx1"/>
            </w14:solidFill>
          </w14:textFill>
        </w:rPr>
      </w:pPr>
    </w:p>
    <w:p>
      <w:pPr>
        <w:spacing w:line="560" w:lineRule="exact"/>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甲方（盖章）：                     乙方（盖章）：</w:t>
      </w:r>
    </w:p>
    <w:p>
      <w:pPr>
        <w:pStyle w:val="37"/>
        <w:tabs>
          <w:tab w:val="left" w:pos="5100"/>
        </w:tabs>
        <w:spacing w:line="560" w:lineRule="exact"/>
        <w:ind w:left="7200" w:firstLine="0" w:firstLineChars="0"/>
        <w:jc w:val="left"/>
        <w:rPr>
          <w:rFonts w:hint="eastAsia" w:ascii="仿宋_GB2312" w:hAnsi="仿宋_GB2312" w:eastAsia="仿宋_GB2312" w:cs="仿宋_GB2312"/>
          <w:bCs/>
          <w:color w:val="000000" w:themeColor="text1"/>
          <w:sz w:val="28"/>
          <w:szCs w:val="28"/>
          <w14:textFill>
            <w14:solidFill>
              <w14:schemeClr w14:val="tx1"/>
            </w14:solidFill>
          </w14:textFill>
        </w:rPr>
      </w:pPr>
    </w:p>
    <w:p>
      <w:pPr>
        <w:tabs>
          <w:tab w:val="left" w:pos="5100"/>
        </w:tabs>
        <w:spacing w:line="560" w:lineRule="exact"/>
        <w:ind w:left="8400" w:hanging="8400" w:hangingChars="3000"/>
        <w:rPr>
          <w:rFonts w:hint="eastAsia" w:ascii="仿宋_GB2312" w:hAnsi="仿宋_GB2312" w:eastAsia="仿宋_GB2312" w:cs="仿宋_GB2312"/>
          <w:bCs/>
          <w:color w:val="000000" w:themeColor="text1"/>
          <w:sz w:val="28"/>
          <w:szCs w:val="28"/>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签约代表：                         签约代表：</w:t>
      </w:r>
    </w:p>
    <w:p>
      <w:pPr>
        <w:tabs>
          <w:tab w:val="left" w:pos="4170"/>
        </w:tabs>
        <w:spacing w:line="560" w:lineRule="exact"/>
        <w:rPr>
          <w:rFonts w:hint="eastAsia" w:ascii="宋体" w:hAnsi="宋体" w:eastAsia="宋体" w:cs="宋体"/>
          <w:bCs/>
          <w:color w:val="000000" w:themeColor="text1"/>
          <w:sz w:val="24"/>
          <w:szCs w:val="24"/>
          <w14:textFill>
            <w14:solidFill>
              <w14:schemeClr w14:val="tx1"/>
            </w14:solidFill>
          </w14:textFill>
        </w:rPr>
      </w:pPr>
      <w:r>
        <w:rPr>
          <w:rFonts w:hint="eastAsia" w:ascii="仿宋_GB2312" w:hAnsi="仿宋_GB2312" w:eastAsia="仿宋_GB2312" w:cs="仿宋_GB2312"/>
          <w:bCs/>
          <w:color w:val="000000" w:themeColor="text1"/>
          <w:sz w:val="28"/>
          <w:szCs w:val="28"/>
          <w14:textFill>
            <w14:solidFill>
              <w14:schemeClr w14:val="tx1"/>
            </w14:solidFill>
          </w14:textFill>
        </w:rPr>
        <w:t>日期:    年  月  日</w:t>
      </w:r>
      <w:r>
        <w:rPr>
          <w:rFonts w:hint="eastAsia" w:ascii="仿宋_GB2312" w:hAnsi="仿宋_GB2312" w:eastAsia="仿宋_GB2312" w:cs="仿宋_GB2312"/>
          <w:bCs/>
          <w:color w:val="000000" w:themeColor="text1"/>
          <w:sz w:val="28"/>
          <w:szCs w:val="28"/>
          <w14:textFill>
            <w14:solidFill>
              <w14:schemeClr w14:val="tx1"/>
            </w14:solidFill>
          </w14:textFill>
        </w:rPr>
        <w:tab/>
      </w:r>
      <w:r>
        <w:rPr>
          <w:rFonts w:hint="eastAsia" w:ascii="仿宋_GB2312" w:hAnsi="仿宋_GB2312" w:eastAsia="仿宋_GB2312" w:cs="仿宋_GB2312"/>
          <w:bCs/>
          <w:color w:val="000000" w:themeColor="text1"/>
          <w:sz w:val="28"/>
          <w:szCs w:val="28"/>
          <w14:textFill>
            <w14:solidFill>
              <w14:schemeClr w14:val="tx1"/>
            </w14:solidFill>
          </w14:textFill>
        </w:rPr>
        <w:t xml:space="preserve">     日期：  年  月  日</w:t>
      </w:r>
    </w:p>
    <w:p>
      <w:pPr>
        <w:pStyle w:val="24"/>
        <w:rPr>
          <w:rFonts w:hint="eastAsia" w:eastAsia="宋体" w:cs="宋体"/>
          <w:bCs/>
          <w:color w:val="000000" w:themeColor="text1"/>
          <w14:textFill>
            <w14:solidFill>
              <w14:schemeClr w14:val="tx1"/>
            </w14:solidFill>
          </w14:textFill>
        </w:rPr>
      </w:pPr>
    </w:p>
    <w:p>
      <w:pPr>
        <w:pStyle w:val="24"/>
        <w:rPr>
          <w:rFonts w:hint="eastAsia" w:eastAsia="宋体" w:cs="宋体"/>
          <w:bCs/>
          <w:color w:val="000000" w:themeColor="text1"/>
          <w14:textFill>
            <w14:solidFill>
              <w14:schemeClr w14:val="tx1"/>
            </w14:solidFill>
          </w14:textFill>
        </w:rPr>
      </w:pPr>
    </w:p>
    <w:p>
      <w:pPr>
        <w:jc w:val="left"/>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br w:type="page"/>
      </w:r>
    </w:p>
    <w:p>
      <w:pPr>
        <w:spacing w:line="440" w:lineRule="exact"/>
        <w:rPr>
          <w:rFonts w:hint="eastAsia" w:ascii="宋体" w:hAnsi="宋体" w:cs="宋体"/>
          <w:b/>
          <w:bCs/>
          <w:color w:val="000000" w:themeColor="text1"/>
          <w:sz w:val="24"/>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附件3</w:t>
      </w:r>
    </w:p>
    <w:p>
      <w:pPr>
        <w:adjustRightInd w:val="0"/>
        <w:snapToGrid w:val="0"/>
        <w:rPr>
          <w:rFonts w:hint="eastAsia" w:ascii="方正小标宋简体" w:hAnsi="方正小标宋简体" w:eastAsia="方正小标宋简体" w:cs="方正小标宋简体"/>
          <w:sz w:val="32"/>
          <w:szCs w:val="32"/>
        </w:rPr>
      </w:pPr>
    </w:p>
    <w:p>
      <w:pPr>
        <w:adjustRightInd w:val="0"/>
        <w:snapToGrid w:val="0"/>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不履约行为的情形及相应被暂停参与投标活动的处理标准</w:t>
      </w:r>
    </w:p>
    <w:tbl>
      <w:tblPr>
        <w:tblStyle w:val="25"/>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245"/>
        <w:gridCol w:w="850"/>
        <w:gridCol w:w="198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序号</w:t>
            </w:r>
          </w:p>
        </w:tc>
        <w:tc>
          <w:tcPr>
            <w:tcW w:w="5671"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不履约行为的情形</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处理</w:t>
            </w:r>
          </w:p>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期限</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情节严重或拒不改正的延长处理期限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1</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安全不履约行为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（一）建设生产现场发生人员重伤或死亡的。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发生重伤或死亡1～2人的，暂停投标1年至2年（含）。</w:t>
            </w:r>
          </w:p>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发生重伤或死亡3～9人的，暂停投标2年以上至4年。</w:t>
            </w:r>
          </w:p>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发生重伤10人以上（含）、或重大及以上事故的，暂停投标4年或以上。</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政府认定责任事故增加6个月。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二）发生基坑坍塌、高支模坍塌、结构坍塌、周边建筑物沉降、管线损坏、火灾、爆炸等，虽无人员伤亡但造成重大社会负面影响的事件。重大社会负面影响包括但不限于交通中断、大面积停水停电停气、大范围通信中断、人员紧急疏散、中断行车2小时以上，大面积运营晚点，或群体性事件等。</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视情况暂停投标1至2年。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（三）根据《广州市净水有限公司工程项目承包单位考评细则》安全管理未达标且符合限制投标处罚标准的。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4</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质量不履约行为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（一）由于质量问题对建设项目的使用功能造成影响且无法挽回的。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暂停投标1年。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（二）根据《广州市净水有限公司工程项目承包单位考评细则》质量管理未达标且符合限制投标处罚标准的。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（三）发生其他由质量问题而引起的重大社会负面影响事件的。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7</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其他不履约</w:t>
            </w:r>
          </w:p>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（一）投标、询价过程弄虚作假、串通报价投标、任意弃标</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（二）发生质量事故或安全事故造成社会负面影响需要面对媒体和进行危机公关，参建企业法定代表人在规定的时间内未到现场面对媒体进行危机公关的。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（三）因参建企业原因造成信访、维稳事件，造成较大社会影响。</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（四）中标后转包工程、非法分包工程、非法转让业务的。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（五）因人员、机械投入及配套服务投入不足，主要管理人员未按照投标文件响应到位，导致严重影响工期，被市水投集团相关部门及发包人督办、警告和约谈3次的。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（六）未经批准擅自更换项目经理的。</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（七）严重违反合同约定的，具体包括但不限于以下行为：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14</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1.提供或使用假冒伪劣或以次充好产品、不符合国家规范规定材料的。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2.工程竣工验收后，不出具质量保修书的，或质量保修的内容、期限违反规定的。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3.不履行保修义务或者拖延履行保修义务的。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szCs w:val="24"/>
              </w:rPr>
            </w:pPr>
            <w:r>
              <w:rPr>
                <w:rFonts w:hint="eastAsia" w:ascii="仿宋_GB2312" w:hAnsi="仿宋_GB2312" w:eastAsia="仿宋_GB2312" w:cs="仿宋_GB2312"/>
                <w:szCs w:val="24"/>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17</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4.其他经认定为严重违反合同规定的。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（八）违反廉洁协议约定的。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19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（九）拖欠农民工工资，造成不良后果的。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20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（十）为谋取非法利益，给市水投集团或发包人造成损失的。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21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（十一）因参建企业原因造成第三者财产重大损失的。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szCs w:val="24"/>
              </w:rPr>
            </w:pPr>
            <w:r>
              <w:rPr>
                <w:rFonts w:hint="eastAsia" w:ascii="仿宋_GB2312" w:hAnsi="仿宋_GB2312" w:eastAsia="仿宋_GB2312" w:cs="仿宋_GB2312"/>
                <w:szCs w:val="24"/>
              </w:rPr>
              <w:t>22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szCs w:val="24"/>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left"/>
              <w:rPr>
                <w:rFonts w:hint="eastAsia" w:ascii="仿宋_GB2312" w:hAnsi="仿宋_GB2312" w:eastAsia="仿宋_GB2312" w:cs="仿宋_GB2312"/>
                <w:szCs w:val="24"/>
              </w:rPr>
            </w:pPr>
            <w:r>
              <w:rPr>
                <w:rFonts w:hint="eastAsia" w:ascii="仿宋_GB2312" w:hAnsi="仿宋_GB2312" w:eastAsia="仿宋_GB2312" w:cs="仿宋_GB2312"/>
                <w:szCs w:val="24"/>
              </w:rPr>
              <w:t>（十二）经发包人认定的其他不履约行为。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r>
              <w:rPr>
                <w:rFonts w:hint="eastAsia" w:ascii="仿宋_GB2312" w:hAnsi="仿宋_GB2312" w:eastAsia="仿宋_GB2312" w:cs="仿宋_GB2312"/>
                <w:szCs w:val="24"/>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szCs w:val="24"/>
              </w:rPr>
            </w:pPr>
          </w:p>
        </w:tc>
      </w:tr>
    </w:tbl>
    <w:p>
      <w:pPr>
        <w:pStyle w:val="24"/>
        <w:ind w:firstLine="0"/>
        <w:rPr>
          <w:rFonts w:hint="eastAsia" w:eastAsia="宋体" w:cs="宋体"/>
          <w:bCs/>
          <w:color w:val="000000" w:themeColor="text1"/>
          <w14:textFill>
            <w14:solidFill>
              <w14:schemeClr w14:val="tx1"/>
            </w14:solidFill>
          </w14:textFill>
        </w:rPr>
      </w:pPr>
      <w:r>
        <w:rPr>
          <w:rFonts w:hint="eastAsia" w:ascii="仿宋_GB2312" w:hAnsi="仿宋_GB2312" w:eastAsia="仿宋_GB2312" w:cs="仿宋_GB2312"/>
          <w:color w:val="auto"/>
        </w:rPr>
        <w:t>备注：本处理标准出自</w:t>
      </w:r>
      <w:r>
        <w:rPr>
          <w:rFonts w:hint="eastAsia" w:ascii="仿宋_GB2312" w:hAnsi="仿宋_GB2312" w:eastAsia="仿宋_GB2312" w:cs="仿宋_GB2312"/>
        </w:rPr>
        <w:t>《广州市净水有限公司经营建设项目参建企业不履约评价管理办法（试行）》。</w:t>
      </w:r>
    </w:p>
    <w:p>
      <w:pPr>
        <w:pStyle w:val="24"/>
        <w:ind w:firstLine="0"/>
        <w:rPr>
          <w:rFonts w:hint="eastAsia" w:eastAsia="宋体" w:cs="宋体"/>
          <w:bCs/>
          <w:color w:val="000000" w:themeColor="text1"/>
          <w14:textFill>
            <w14:solidFill>
              <w14:schemeClr w14:val="tx1"/>
            </w14:solidFill>
          </w14:textFill>
        </w:rPr>
      </w:pPr>
    </w:p>
    <w:p>
      <w:pPr>
        <w:jc w:val="left"/>
        <w:rPr>
          <w:rFonts w:hint="eastAsia"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br w:type="page"/>
      </w:r>
    </w:p>
    <w:p>
      <w:pPr>
        <w:spacing w:line="440" w:lineRule="exact"/>
        <w:rPr>
          <w:rFonts w:hint="eastAsia" w:ascii="宋体" w:hAnsi="宋体" w:cs="宋体"/>
          <w:b/>
          <w:bCs/>
          <w:color w:val="000000" w:themeColor="text1"/>
          <w:sz w:val="24"/>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附件4</w:t>
      </w:r>
    </w:p>
    <w:p>
      <w:pPr>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营运场所施工安全及消防安全协议书</w:t>
      </w:r>
    </w:p>
    <w:p>
      <w:pPr>
        <w:spacing w:line="440" w:lineRule="exact"/>
        <w:rPr>
          <w:rFonts w:hint="eastAsia" w:ascii="宋体" w:hAnsi="宋体" w:eastAsia="宋体" w:cs="宋体"/>
          <w:color w:val="000000" w:themeColor="text1"/>
          <w:kern w:val="0"/>
          <w:sz w:val="24"/>
          <w14:textFill>
            <w14:solidFill>
              <w14:schemeClr w14:val="tx1"/>
            </w14:solidFill>
          </w14:textFill>
        </w:rPr>
      </w:pPr>
    </w:p>
    <w:p>
      <w:pPr>
        <w:spacing w:line="500" w:lineRule="exact"/>
        <w:ind w:firstLine="560" w:firstLineChars="200"/>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甲方：</w:t>
      </w:r>
      <w:r>
        <w:rPr>
          <w:rFonts w:hint="eastAsia" w:ascii="仿宋_GB2312" w:hAnsi="仿宋_GB2312" w:eastAsia="仿宋_GB2312" w:cs="仿宋_GB2312"/>
          <w:color w:val="000000" w:themeColor="text1"/>
          <w:sz w:val="28"/>
          <w:szCs w:val="28"/>
          <w14:textFill>
            <w14:solidFill>
              <w14:schemeClr w14:val="tx1"/>
            </w14:solidFill>
          </w14:textFill>
        </w:rPr>
        <w:t>广州市净水有限公司</w:t>
      </w:r>
    </w:p>
    <w:p>
      <w:pPr>
        <w:spacing w:line="500" w:lineRule="exact"/>
        <w:ind w:firstLine="560" w:firstLineChars="200"/>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 xml:space="preserve">乙方： </w:t>
      </w:r>
    </w:p>
    <w:p>
      <w:pPr>
        <w:spacing w:line="500" w:lineRule="exact"/>
        <w:rPr>
          <w:rFonts w:hint="eastAsia" w:ascii="仿宋_GB2312" w:hAnsi="仿宋_GB2312" w:eastAsia="仿宋_GB2312" w:cs="仿宋_GB2312"/>
          <w:color w:val="000000" w:themeColor="text1"/>
          <w:kern w:val="0"/>
          <w:sz w:val="28"/>
          <w:szCs w:val="28"/>
          <w14:textFill>
            <w14:solidFill>
              <w14:schemeClr w14:val="tx1"/>
            </w14:solidFill>
          </w14:textFill>
        </w:rPr>
      </w:pPr>
    </w:p>
    <w:p>
      <w:pPr>
        <w:spacing w:line="500" w:lineRule="exact"/>
        <w:ind w:firstLine="560" w:firstLineChars="200"/>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根据《中华人民共和国安全生产法》、《中华人民共和国消防法》、《生产安全事故报告和调查处理条例》、《建设工程安全生产管理条例》等国家及地方有关安全生产、消防安全法律法规，甲乙双方就安全及消防安全事宜，</w:t>
      </w:r>
      <w:r>
        <w:rPr>
          <w:rFonts w:hint="eastAsia" w:ascii="仿宋_GB2312" w:hAnsi="仿宋_GB2312" w:eastAsia="仿宋_GB2312" w:cs="仿宋_GB2312"/>
          <w:color w:val="000000" w:themeColor="text1"/>
          <w:sz w:val="28"/>
          <w:szCs w:val="28"/>
          <w14:textFill>
            <w14:solidFill>
              <w14:schemeClr w14:val="tx1"/>
            </w14:solidFill>
          </w14:textFill>
        </w:rPr>
        <w:t>经双方友好协商，达成如下协议</w:t>
      </w:r>
      <w:r>
        <w:rPr>
          <w:rFonts w:hint="eastAsia" w:ascii="仿宋_GB2312" w:hAnsi="仿宋_GB2312" w:eastAsia="仿宋_GB2312" w:cs="仿宋_GB2312"/>
          <w:color w:val="000000" w:themeColor="text1"/>
          <w:kern w:val="0"/>
          <w:sz w:val="28"/>
          <w:szCs w:val="28"/>
          <w14:textFill>
            <w14:solidFill>
              <w14:schemeClr w14:val="tx1"/>
            </w14:solidFill>
          </w14:textFill>
        </w:rPr>
        <w:t>。</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一、总则</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（一）本协议是合同</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（穗净水合〔    〕   号） </w:t>
      </w:r>
      <w:r>
        <w:rPr>
          <w:rFonts w:hint="eastAsia" w:ascii="仿宋_GB2312" w:hAnsi="仿宋_GB2312" w:eastAsia="仿宋_GB2312" w:cs="仿宋_GB2312"/>
          <w:color w:val="000000" w:themeColor="text1"/>
          <w:sz w:val="28"/>
          <w:szCs w:val="28"/>
          <w14:textFill>
            <w14:solidFill>
              <w14:schemeClr w14:val="tx1"/>
            </w14:solidFill>
          </w14:textFill>
        </w:rPr>
        <w:t>的组成部分。</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（二）甲、乙双方应遵守国家、省、市有关安全生产、消防安全的法律、法规、规章，履行安全生产、消防安全职责，保障人员生命、财产安全。</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（三）甲、乙双方应当逐级落实安全生产、消防安全责任制，明确逐级岗位人员的安全生产、消防安全职责。</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（四）本协议是对在满足法律法规规定的双方安全及消防安全责任的基础上的补充事项。</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（五）当同一个场所、池体内，甲方安排两个或以上的承包单位同时施工的，由甲方组织各承包单位签订《营运场所交叉作业安全及消防安全协议书》。</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（六）乙方的单位及人员资质（</w:t>
      </w:r>
      <w:r>
        <w:rPr>
          <w:rFonts w:hint="eastAsia" w:ascii="仿宋_GB2312" w:hAnsi="仿宋_GB2312" w:eastAsia="仿宋_GB2312" w:cs="仿宋_GB2312"/>
          <w:b/>
          <w:color w:val="000000" w:themeColor="text1"/>
          <w:kern w:val="0"/>
          <w:sz w:val="28"/>
          <w:szCs w:val="28"/>
          <w14:textFill>
            <w14:solidFill>
              <w14:schemeClr w14:val="tx1"/>
            </w14:solidFill>
          </w14:textFill>
        </w:rPr>
        <w:t>单项选择并填写</w:t>
      </w:r>
      <w:r>
        <w:rPr>
          <w:rFonts w:hint="eastAsia" w:ascii="仿宋_GB2312" w:hAnsi="仿宋_GB2312" w:eastAsia="仿宋_GB2312" w:cs="仿宋_GB2312"/>
          <w:color w:val="000000" w:themeColor="text1"/>
          <w:kern w:val="0"/>
          <w:sz w:val="28"/>
          <w:szCs w:val="28"/>
          <w14:textFill>
            <w14:solidFill>
              <w14:schemeClr w14:val="tx1"/>
            </w14:solidFill>
          </w14:textFill>
        </w:rPr>
        <w:t>）</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sym w:font="Wingdings 2" w:char="00A3"/>
      </w:r>
      <w:r>
        <w:rPr>
          <w:rFonts w:hint="eastAsia" w:ascii="仿宋_GB2312" w:hAnsi="仿宋_GB2312" w:eastAsia="仿宋_GB2312" w:cs="仿宋_GB2312"/>
          <w:color w:val="000000" w:themeColor="text1"/>
          <w:kern w:val="0"/>
          <w:sz w:val="28"/>
          <w:szCs w:val="28"/>
          <w14:textFill>
            <w14:solidFill>
              <w14:schemeClr w14:val="tx1"/>
            </w14:solidFill>
          </w14:textFill>
        </w:rPr>
        <w:t>1.详见合同第</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条。</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sym w:font="Wingdings 2" w:char="00A3"/>
      </w:r>
      <w:r>
        <w:rPr>
          <w:rFonts w:hint="eastAsia" w:ascii="仿宋_GB2312" w:hAnsi="仿宋_GB2312" w:eastAsia="仿宋_GB2312" w:cs="仿宋_GB2312"/>
          <w:color w:val="000000" w:themeColor="text1"/>
          <w:kern w:val="0"/>
          <w:sz w:val="28"/>
          <w:szCs w:val="28"/>
          <w14:textFill>
            <w14:solidFill>
              <w14:schemeClr w14:val="tx1"/>
            </w14:solidFill>
          </w14:textFill>
        </w:rPr>
        <w:t>2.详见文件《</w:t>
      </w:r>
      <w:r>
        <w:rPr>
          <w:rFonts w:hint="eastAsia" w:ascii="仿宋_GB2312" w:hAnsi="仿宋_GB2312" w:eastAsia="仿宋_GB2312" w:cs="仿宋_GB2312"/>
          <w:color w:val="000000" w:themeColor="text1"/>
          <w:kern w:val="0"/>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kern w:val="0"/>
          <w:sz w:val="28"/>
          <w:szCs w:val="28"/>
          <w14:textFill>
            <w14:solidFill>
              <w14:schemeClr w14:val="tx1"/>
            </w14:solidFill>
          </w14:textFill>
        </w:rPr>
        <w:t>》。</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二、甲方的安全及消防安全责任</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（一）交底告知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项目实施前，应告知乙方地面、周边、地下已知存在的设施，特别是涉及影响生产、应急的各类地下管线及保护要求，要求乙方在施工方案明确落实相应的具体措施；甲方规定的安全生产及消防安全管理要求，允许进出及行走的路线、禁止触动甲方设备设施等；项目备案的要求。</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2.乙方进场作业前，应对乙方进行交底，再次向乙方强调的上述内容，以及施工期间的其他特殊注意事项，如生产方面的调度协调配合等。</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3.当乙方提出相关规范或乙方内部管理制度，比甲方规定的安全生产及消防安全管理要求更严格的，应当接纳乙方的建议。</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（二）落实配合措施</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1.落实生产营运等相关配合措施，提供必要的施工条件。</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（三）安全及消防安全隐患检查与督促整改</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1.在项目施工期，应每天不少于一次对乙方安全措施、消防安全措施投入、现场安全施工情况等进行安全、消防安全监督检查，并提出整改。</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（四）重大安全风险、生产安全重大事故隐患（重大火灾隐患）等情况报告及举报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1.对乙方上报的重大安全风险、生产安全重大事故隐患（重大火灾隐患），应当如实向水投集团报告。</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2.如发现乙方瞒报重大安全风险、生产安全重大事故隐患（重大火灾隐患），甲方除向水投集团报告外，有权向属地安全应急管理部门、属地行业主管部门举报。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3.甲方发现乙方在项目范围内（含工地范围内的住宿、办公等区域）开展违法、犯罪活动，向公安部门举报。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（五）事故报告及举报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1.对乙方上报的安全事故及消防安全事故，应当按水投集团有关程序，如实向集团报告。</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2.如发现乙方瞒报安全事故及消防安全事故，甲方除向水投集团报告外，有权向属地安全应急管理部门、属地行业主管部门举报。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（六）补充条款</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         。</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三、乙方的安全及消防安全责任</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（一）接受交底告知并复核确认安全风险，落实管控措施</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1.乙方接受甲方交底。</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2.编制的方案应响应甲方告知，明确相应的措施。</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3.根据甲方项目备案的要求，提交项目备案材料</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4.当甲方规定的安全生产及消防安全管理要求，比相关规范或乙方内部管理制度严格的，按甲方的执行。</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5.当相关规范或乙方内部管理制度，比甲方规定的安全生产及消防安全管理要求严格的，应明确告知甲方确认，并按相关规范或乙方内部管理制度执行。</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（二）告知甲方需要配合的事项</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1.向甲方告知在施工作业期间，需要甲方配合落实的措施</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（三）落实安全及消防安全隐患排查与整改，并接受检查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乙方应做好的每日安全生产、消防安全巡查及开展人员安全生产、消防安全教育，确保场所、场地、区域、施工、仓储、住宿、办公等，符合国家、行业安全生产、消防安全相关要求，无对甲方、乙方以及周边第三方生产安全、消防安全、人身安全等构成威胁，无开展违法、犯罪活动，无存放易燃易爆危险化学品，无乙方人员擅自进入借用地块范围以外的甲方场所，有按方案落实各项措施以及及时发现并整改安全隐患、消防安全隐患，杜绝安全事故、消防安全事故。</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2.接受甲方“四不两直”的不定期检查。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（三）重大安全风险、生产安全重大事故隐患（重大火灾隐患）报告</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1.乙方识别存在重大安全风险的，应研究并落实管控措施，降低风险等级，并向甲方、属地安全应急管理部门、属地行业主管部门上报。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2.乙方自查或被外单位检查发现生产安全重大事故隐患（重大火灾隐患）的，应当立即向甲方、属地安全应急管理部门、属地行业主管部门上报。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3.如甲方未收到乙方关于重大安全风险、生产安全重大事故隐患（重大火灾隐患）的报告，但由其他途径获知信息的，视为瞒报。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4.不得谎报信息。</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（四）事故报告</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1.项目发生安全事故及消防安全事故的，乙方应当在预案规定时间内立即向甲方上报。否则视为迟报。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2.如甲方未收到乙方关于安全事故及消防安全事故的报告，但由其他途径获知信息的，视为瞒报。</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3.不得谎报信息。</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（五）补充条款</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        。</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四、违约责任</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（一）未发生安全事故或消防安全事故的违约责任</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1.乙方未履行安全及消防安全责任的，甲方有权按合同相关条款处理。</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2.因甲方未履行安全及消防安全责任，乙方有权按合同相关条款处理。</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（二）发生安全事故或消防安全事故的违约责任</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项目发生安全事故或消防安全事故的，乙方须立即开展事故处置，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pPr>
        <w:spacing w:line="500" w:lineRule="exact"/>
        <w:ind w:firstLine="560" w:firstLineChars="200"/>
        <w:jc w:val="left"/>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2.如甲方未能提供甲方履职证明的，根据责任调查报告（意见）承担责任。</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五、附则</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（一）本协议未尽事宜，依据有关法律、法规、规章处理。法律、法规、规章没有明确规定的，经双方协商处理解决。</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（二）在合同（协议）执行期间，因国家、地方、以及广州市净水有限公司印发有关文件，加强安全管理要求的，乙方应按最新要求无条件执行。如不执行，甲方有权根据合同或有关文件进行处理。</w:t>
      </w:r>
    </w:p>
    <w:p>
      <w:pPr>
        <w:spacing w:line="500" w:lineRule="exact"/>
        <w:ind w:firstLine="560" w:firstLineChars="200"/>
        <w:jc w:val="lef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（三）本协议作为合同的附件同时签字、同事盖章、同时生效、同时终止，具有同等的法律效力。甲方、乙方双方执持数量与合同一致。</w:t>
      </w:r>
    </w:p>
    <w:p>
      <w:pPr>
        <w:spacing w:line="500" w:lineRule="exact"/>
        <w:rPr>
          <w:rFonts w:hint="eastAsia" w:ascii="仿宋_GB2312" w:hAnsi="仿宋_GB2312" w:eastAsia="仿宋_GB2312" w:cs="仿宋_GB2312"/>
          <w:color w:val="000000" w:themeColor="text1"/>
          <w:sz w:val="28"/>
          <w:szCs w:val="28"/>
          <w14:textFill>
            <w14:solidFill>
              <w14:schemeClr w14:val="tx1"/>
            </w14:solidFill>
          </w14:textFill>
        </w:rPr>
      </w:pPr>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3"/>
        <w:gridCol w:w="4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tcPr>
          <w:p>
            <w:pPr>
              <w:spacing w:line="50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甲方（盖章）：</w:t>
            </w:r>
          </w:p>
          <w:p>
            <w:pPr>
              <w:spacing w:line="50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签约代表：</w:t>
            </w:r>
          </w:p>
          <w:p>
            <w:pPr>
              <w:spacing w:line="50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联系电话：</w:t>
            </w:r>
          </w:p>
          <w:p>
            <w:pPr>
              <w:spacing w:line="500" w:lineRule="exact"/>
              <w:ind w:firstLine="280" w:firstLineChars="100"/>
              <w:jc w:val="righ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年    月    日</w:t>
            </w:r>
          </w:p>
        </w:tc>
        <w:tc>
          <w:tcPr>
            <w:tcW w:w="4474" w:type="dxa"/>
          </w:tcPr>
          <w:p>
            <w:pPr>
              <w:spacing w:line="50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乙方（盖章）：</w:t>
            </w:r>
          </w:p>
          <w:p>
            <w:pPr>
              <w:spacing w:line="50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签约代表：</w:t>
            </w:r>
          </w:p>
          <w:p>
            <w:pPr>
              <w:spacing w:line="500" w:lineRule="exac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联系电话：</w:t>
            </w:r>
          </w:p>
          <w:p>
            <w:pPr>
              <w:spacing w:line="500" w:lineRule="exact"/>
              <w:jc w:val="right"/>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年    月    日</w:t>
            </w:r>
          </w:p>
        </w:tc>
      </w:tr>
    </w:tbl>
    <w:p>
      <w:pPr>
        <w:rPr>
          <w:rFonts w:hint="eastAsia" w:ascii="宋体" w:hAnsi="宋体" w:cs="宋体"/>
          <w:color w:val="000000" w:themeColor="text1"/>
          <w:sz w:val="24"/>
          <w14:textFill>
            <w14:solidFill>
              <w14:schemeClr w14:val="tx1"/>
            </w14:solidFill>
          </w14:textFill>
        </w:rPr>
      </w:pPr>
    </w:p>
    <w:p>
      <w:pPr>
        <w:spacing w:line="360" w:lineRule="auto"/>
        <w:rPr>
          <w:rFonts w:hint="eastAsia" w:ascii="宋体" w:hAnsi="宋体" w:cs="宋体"/>
          <w:b/>
          <w:bCs/>
          <w:color w:val="000000" w:themeColor="text1"/>
          <w:sz w:val="24"/>
          <w:szCs w:val="24"/>
          <w14:textFill>
            <w14:solidFill>
              <w14:schemeClr w14:val="tx1"/>
            </w14:solidFill>
          </w14:textFill>
        </w:rPr>
      </w:pPr>
    </w:p>
    <w:p>
      <w:pPr>
        <w:spacing w:line="360" w:lineRule="auto"/>
        <w:rPr>
          <w:rFonts w:hint="eastAsia" w:ascii="宋体" w:hAnsi="宋体" w:cs="宋体"/>
          <w:b/>
          <w:bCs/>
          <w:color w:val="000000" w:themeColor="text1"/>
          <w:sz w:val="24"/>
          <w:szCs w:val="24"/>
          <w14:textFill>
            <w14:solidFill>
              <w14:schemeClr w14:val="tx1"/>
            </w14:solidFill>
          </w14:textFill>
        </w:rPr>
      </w:pPr>
    </w:p>
    <w:p>
      <w:pP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br w:type="page"/>
      </w:r>
    </w:p>
    <w:p>
      <w:pPr>
        <w:spacing w:line="320" w:lineRule="exact"/>
        <w:rPr>
          <w:rFonts w:hint="eastAsia" w:ascii="仿宋_GB2312" w:hAnsi="仿宋_GB2312" w:eastAsia="仿宋_GB2312" w:cs="仿宋_GB2312"/>
          <w:color w:val="000000" w:themeColor="text1"/>
          <w:szCs w:val="21"/>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附件5 工程量</w:t>
      </w:r>
      <w:bookmarkStart w:id="96" w:name="OLE_LINK1"/>
      <w:r>
        <w:rPr>
          <w:rFonts w:hint="eastAsia" w:ascii="黑体" w:hAnsi="黑体" w:eastAsia="黑体" w:cs="黑体"/>
          <w:color w:val="000000" w:themeColor="text1"/>
          <w:sz w:val="32"/>
          <w:szCs w:val="32"/>
          <w14:textFill>
            <w14:solidFill>
              <w14:schemeClr w14:val="tx1"/>
            </w14:solidFill>
          </w14:textFill>
        </w:rPr>
        <w:t>清单报价</w:t>
      </w:r>
      <w:bookmarkEnd w:id="96"/>
    </w:p>
    <w:tbl>
      <w:tblPr>
        <w:tblStyle w:val="25"/>
        <w:tblW w:w="11445" w:type="dxa"/>
        <w:tblInd w:w="-133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5"/>
        <w:gridCol w:w="731"/>
        <w:gridCol w:w="1017"/>
        <w:gridCol w:w="6847"/>
        <w:gridCol w:w="343"/>
        <w:gridCol w:w="364"/>
        <w:gridCol w:w="853"/>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75" w:type="dxa"/>
            <w:tcBorders>
              <w:top w:val="single" w:color="auto" w:sz="12"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序号</w:t>
            </w:r>
          </w:p>
        </w:tc>
        <w:tc>
          <w:tcPr>
            <w:tcW w:w="731"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名称</w:t>
            </w:r>
          </w:p>
        </w:tc>
        <w:tc>
          <w:tcPr>
            <w:tcW w:w="1017"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lang w:val="en-US"/>
              </w:rPr>
            </w:pPr>
            <w:r>
              <w:rPr>
                <w:rFonts w:hint="eastAsia" w:ascii="仿宋_GB2312" w:hAnsi="仿宋_GB2312" w:eastAsia="仿宋_GB2312" w:cs="仿宋_GB2312"/>
                <w:b/>
                <w:bCs/>
                <w:i w:val="0"/>
                <w:iCs w:val="0"/>
                <w:color w:val="000000"/>
                <w:kern w:val="0"/>
                <w:sz w:val="20"/>
                <w:szCs w:val="20"/>
                <w:u w:val="none"/>
                <w:lang w:val="en-US" w:eastAsia="zh-CN" w:bidi="ar"/>
              </w:rPr>
              <w:t>项目名称描述</w:t>
            </w:r>
          </w:p>
        </w:tc>
        <w:tc>
          <w:tcPr>
            <w:tcW w:w="6847"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主要功能参数</w:t>
            </w:r>
          </w:p>
        </w:tc>
        <w:tc>
          <w:tcPr>
            <w:tcW w:w="343"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数量</w:t>
            </w:r>
          </w:p>
        </w:tc>
        <w:tc>
          <w:tcPr>
            <w:tcW w:w="364"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单位</w:t>
            </w:r>
          </w:p>
        </w:tc>
        <w:tc>
          <w:tcPr>
            <w:tcW w:w="853"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不含税单价（元）</w:t>
            </w:r>
          </w:p>
        </w:tc>
        <w:tc>
          <w:tcPr>
            <w:tcW w:w="915"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不含税总价（元）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445" w:type="dxa"/>
            <w:gridSpan w:val="8"/>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1.重点车辆入场管理（</w:t>
            </w:r>
            <w:r>
              <w:rPr>
                <w:rFonts w:hint="eastAsia" w:ascii="仿宋_GB2312" w:hAnsi="仿宋_GB2312" w:eastAsia="仿宋_GB2312" w:cs="仿宋_GB2312"/>
                <w:lang w:val="en-US" w:eastAsia="zh-CN"/>
              </w:rPr>
              <w:t>整个厂区车辆入场管理部分</w:t>
            </w:r>
            <w:r>
              <w:rPr>
                <w:rFonts w:hint="eastAsia" w:ascii="仿宋_GB2312" w:hAnsi="仿宋_GB2312" w:eastAsia="仿宋_GB2312" w:cs="仿宋_GB2312"/>
                <w:b/>
                <w:bCs/>
                <w:i w:val="0"/>
                <w:iCs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5" w:hRule="exact"/>
        </w:trPr>
        <w:tc>
          <w:tcPr>
            <w:tcW w:w="375" w:type="dxa"/>
            <w:tcBorders>
              <w:top w:val="single" w:color="auto" w:sz="4" w:space="0"/>
              <w:left w:val="single" w:color="auto" w:sz="12"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1</w:t>
            </w:r>
          </w:p>
        </w:tc>
        <w:tc>
          <w:tcPr>
            <w:tcW w:w="731"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kern w:val="0"/>
                <w:sz w:val="16"/>
                <w:szCs w:val="16"/>
                <w:u w:val="none"/>
                <w:lang w:val="en-US" w:eastAsia="zh-CN" w:bidi="ar"/>
              </w:rPr>
              <w:t>车型识别系统-低位版</w:t>
            </w:r>
          </w:p>
        </w:tc>
        <w:tc>
          <w:tcPr>
            <w:tcW w:w="1017"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000000"/>
                <w:kern w:val="0"/>
                <w:sz w:val="16"/>
                <w:szCs w:val="16"/>
                <w:u w:val="none"/>
                <w:lang w:val="en-US" w:eastAsia="zh-CN" w:bidi="ar"/>
              </w:rPr>
              <w:t>车型识别系统-低位版设备</w:t>
            </w:r>
          </w:p>
        </w:tc>
        <w:tc>
          <w:tcPr>
            <w:tcW w:w="6847"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由300万像素车头抓拍、300万像素车尾抓拍、车身扫描摄像机组成；根据JTT-2019行业标准要求，采用深度学习图像识别技术，自动识别客运车辆、货运车辆、专项作业车辆，并根据车长、座位数、轴数等将其识别分类车型识别：识别以下车型：客1、客2、客3、客4、货1、货2、货3、货4、货5、货6。</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参数：1）车身摄像机:200万像素1/2.8英寸星光级CMOS传感器,1.5mm镜头；</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2）车头车尾相机：300万像素1/2.8英寸星光级CMOS传感器，6mm镜头；</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3）有效像素:根据实际车辆拼接图像而定</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4) 最低照度:≤0.01LUX彩色</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5) 网络协议：支持多种网络协议</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6) 视频帧率:120fps@ H.264</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7) 视频压缩标准:H.264 High Profile</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 xml:space="preserve">8）输出码率：64kbps~12Mbps </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9）码流：1080P；10）功耗：≤180W；11）供电：AC100~240V，50~60Hz</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12）工作温度：-40~+60℃；13）防护等级：IP66</w:t>
            </w:r>
            <w:r>
              <w:rPr>
                <w:rFonts w:hint="eastAsia" w:ascii="仿宋_GB2312" w:hAnsi="仿宋_GB2312" w:eastAsia="仿宋_GB2312" w:cs="仿宋_GB2312"/>
                <w:i w:val="0"/>
                <w:iCs w:val="0"/>
                <w:color w:val="auto"/>
                <w:kern w:val="0"/>
                <w:sz w:val="16"/>
                <w:szCs w:val="16"/>
                <w:u w:val="none"/>
                <w:lang w:val="en-US" w:eastAsia="zh-CN" w:bidi="ar"/>
              </w:rPr>
              <w:br w:type="textWrapping"/>
            </w:r>
          </w:p>
        </w:tc>
        <w:tc>
          <w:tcPr>
            <w:tcW w:w="34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36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c>
          <w:tcPr>
            <w:tcW w:w="85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445" w:type="dxa"/>
            <w:gridSpan w:val="8"/>
            <w:tcBorders>
              <w:top w:val="single" w:color="auto" w:sz="12" w:space="0"/>
              <w:left w:val="single" w:color="auto" w:sz="12"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2.生产区域重点车辆安全管理（</w:t>
            </w:r>
            <w:r>
              <w:rPr>
                <w:rFonts w:hint="eastAsia" w:ascii="仿宋_GB2312" w:hAnsi="仿宋_GB2312" w:eastAsia="仿宋_GB2312" w:cs="仿宋_GB2312"/>
                <w:lang w:val="en-US" w:eastAsia="zh-CN"/>
              </w:rPr>
              <w:t>地下生产区域车辆安全管理部分</w:t>
            </w:r>
            <w:r>
              <w:rPr>
                <w:rFonts w:hint="eastAsia" w:ascii="仿宋_GB2312" w:hAnsi="仿宋_GB2312" w:eastAsia="仿宋_GB2312" w:cs="仿宋_GB2312"/>
                <w:b/>
                <w:bCs/>
                <w:i w:val="0"/>
                <w:iCs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8" w:hRule="exact"/>
        </w:trPr>
        <w:tc>
          <w:tcPr>
            <w:tcW w:w="375" w:type="dxa"/>
            <w:tcBorders>
              <w:top w:val="nil"/>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1</w:t>
            </w:r>
          </w:p>
        </w:tc>
        <w:tc>
          <w:tcPr>
            <w:tcW w:w="731"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kern w:val="0"/>
                <w:sz w:val="16"/>
                <w:szCs w:val="16"/>
                <w:u w:val="none"/>
                <w:lang w:val="en-US" w:eastAsia="zh-CN" w:bidi="ar"/>
              </w:rPr>
              <w:t>大车限速管控一体机</w:t>
            </w:r>
          </w:p>
        </w:tc>
        <w:tc>
          <w:tcPr>
            <w:tcW w:w="1017"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000000"/>
                <w:kern w:val="0"/>
                <w:sz w:val="16"/>
                <w:szCs w:val="16"/>
                <w:u w:val="none"/>
                <w:lang w:val="en-US" w:eastAsia="zh-CN" w:bidi="ar"/>
              </w:rPr>
              <w:t>大车限速管控一体机设备</w:t>
            </w:r>
          </w:p>
        </w:tc>
        <w:tc>
          <w:tcPr>
            <w:tcW w:w="6847" w:type="dxa"/>
            <w:tcBorders>
              <w:top w:val="nil"/>
              <w:left w:val="nil"/>
              <w:bottom w:val="single" w:color="auto" w:sz="4" w:space="0"/>
              <w:right w:val="single" w:color="auto" w:sz="4" w:space="0"/>
            </w:tcBorders>
            <w:shd w:val="clear" w:color="000000" w:fill="FFFFFF"/>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auto"/>
                <w:sz w:val="16"/>
                <w:szCs w:val="16"/>
                <w:u w:val="none"/>
              </w:rPr>
            </w:pPr>
            <w:r>
              <w:rPr>
                <w:rStyle w:val="61"/>
                <w:rFonts w:hint="eastAsia" w:ascii="仿宋_GB2312" w:hAnsi="仿宋_GB2312" w:eastAsia="仿宋_GB2312" w:cs="仿宋_GB2312"/>
                <w:b/>
                <w:bCs/>
                <w:color w:val="000000" w:themeColor="text1"/>
                <w:sz w:val="16"/>
                <w:szCs w:val="16"/>
                <w:lang w:val="en-US" w:eastAsia="zh-CN" w:bidi="ar"/>
                <w14:textFill>
                  <w14:solidFill>
                    <w14:schemeClr w14:val="tx1"/>
                  </w14:solidFill>
                </w14:textFill>
              </w:rPr>
              <w:t>显示进入负一层生产区域急转弯下坡区域车辆的下坡速度、播报来车语音提醒车辆及维修室维护人员。</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模组尺寸：320mm*160mm</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模组分辨率：104X52</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显示颜色：≥43980亿种</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最佳视距：≥3M</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可视角度：水平：≥140°垂直≥140°</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亮度调节：256级软件调节，10级自动调节</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换帧频率：≥60HZ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刷新频率：≥1920HZ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控制方式：支持有线、WiFl、3G/4G云播放</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视频信号：NTSC</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屏体寿命：≥100,000小时.</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连续工作时间：＞72小时</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平均无故障时间：＞1,000小时</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屏体重量：≤30KG/㎡</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★有线网络：不少于1 个千兆光口，支持环网、VLAN；不少于1个千兆网口，支持POE++</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 xml:space="preserve">接口：包括单不限1 路 RS485 </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工作温度： -20~65℃</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★广播：功率：30W</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输入电压：~220V  50Hz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频响：80-16KHz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防护等级：IP66</w:t>
            </w:r>
          </w:p>
        </w:tc>
        <w:tc>
          <w:tcPr>
            <w:tcW w:w="343"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36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c>
          <w:tcPr>
            <w:tcW w:w="853"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c>
          <w:tcPr>
            <w:tcW w:w="915"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10" w:hRule="atLeast"/>
        </w:trPr>
        <w:tc>
          <w:tcPr>
            <w:tcW w:w="375"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2</w:t>
            </w:r>
          </w:p>
        </w:tc>
        <w:tc>
          <w:tcPr>
            <w:tcW w:w="731"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单目轻型雷视一体机</w:t>
            </w:r>
          </w:p>
        </w:tc>
        <w:tc>
          <w:tcPr>
            <w:tcW w:w="1017"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auto"/>
                <w:kern w:val="0"/>
                <w:sz w:val="16"/>
                <w:szCs w:val="16"/>
                <w:u w:val="none"/>
                <w:lang w:val="en-US" w:eastAsia="zh-CN" w:bidi="ar"/>
              </w:rPr>
              <w:t>单目轻型雷视一体机设备</w:t>
            </w:r>
          </w:p>
        </w:tc>
        <w:tc>
          <w:tcPr>
            <w:tcW w:w="6847" w:type="dxa"/>
            <w:tcBorders>
              <w:top w:val="single" w:color="auto" w:sz="4" w:space="0"/>
              <w:left w:val="nil"/>
              <w:bottom w:val="single" w:color="auto" w:sz="4" w:space="0"/>
              <w:right w:val="single" w:color="auto" w:sz="4" w:space="0"/>
            </w:tcBorders>
            <w:shd w:val="clear" w:color="000000" w:fill="FFFFFF"/>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支持智能识别车辆类型，包括大货车，小货车，中货车，工程车，混凝土泵车，重型运输车，渣土车，消防车，清扫车，排污车，垃圾运输车，油罐车，水泥车，泥头车</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传感器类型 1/1.8 英寸 CMOS</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光圈 F1.0</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低照度 0.001Lux</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内存 2G Byte DDR4</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储存 8G Byte eMMC</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快门方式 电子快门</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电子快门 1/30s～1/30000s（可手动或自动调节）</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曝光模式 自动/手动</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像分辨率 2688×1520（不包含 OSD 黑边）</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视频分辨率 2K（2688×1520）/1080P（1920×1080），视频帧率 主码流（3840×2160@25fps）</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，视频码率 H.264：视频压缩标准 H.264，视场角 H：43.1°；V：24.7°；D：50.1°</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图片编码格式 JPEG</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宽动态 &gt;100dB</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白平衡 自动；手动</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降噪 2D/3D 降噪</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日夜转换 支持 ICR 切换（可选）</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补光灯 4 颗（暖光灯），补光灯色温 3250K，补光灯亮度调节，亮度可调节</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扩展模块 内置 24G 毫米波雷达</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雷达发射频率 24GHz</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测速范围 0～+200km/h</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测速精度 ±0.5km/h</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测量误差 ±0.4m</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网络接口 1 个 RJ-45 以太网口，支持 10/100/1000M 网络数据传输</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RS-485接口 1 个，连接常亮灯等</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供电方式 AC100V～AC240V（50Hz）</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功耗 ≤12W</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工作温度 -30℃~+75℃</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储存温度 -40℃~+65℃</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工作湿度 10%～90%RH（无凝结）</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储存湿度 10%～90%RH（无凝结）</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产品尺寸 376mm×139mm×164.7mm（长×宽×高）</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安装方式 万向节安装</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镜头 标配10mm</w:t>
            </w:r>
          </w:p>
        </w:tc>
        <w:tc>
          <w:tcPr>
            <w:tcW w:w="34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36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c>
          <w:tcPr>
            <w:tcW w:w="853"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c>
          <w:tcPr>
            <w:tcW w:w="91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5" w:hRule="exact"/>
        </w:trPr>
        <w:tc>
          <w:tcPr>
            <w:tcW w:w="375"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3</w:t>
            </w:r>
          </w:p>
        </w:tc>
        <w:tc>
          <w:tcPr>
            <w:tcW w:w="731"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雷达测速仪</w:t>
            </w:r>
          </w:p>
        </w:tc>
        <w:tc>
          <w:tcPr>
            <w:tcW w:w="1017"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auto"/>
                <w:kern w:val="0"/>
                <w:sz w:val="16"/>
                <w:szCs w:val="16"/>
                <w:u w:val="none"/>
                <w:lang w:val="en-US" w:eastAsia="zh-CN" w:bidi="ar"/>
              </w:rPr>
              <w:t>雷达测速仪设备</w:t>
            </w:r>
          </w:p>
        </w:tc>
        <w:tc>
          <w:tcPr>
            <w:tcW w:w="6847"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kern w:val="0"/>
                <w:sz w:val="16"/>
                <w:szCs w:val="16"/>
                <w:u w:val="none"/>
                <w:lang w:val="en-US" w:eastAsia="zh-CN" w:bidi="ar"/>
              </w:rPr>
              <w:t>生产区内限速设备</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外形尺寸：1100*600*90mm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显示屏：数码管、红绿双色显示区域450*390mm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外壳材质：镀锌钢板+喷塑户外交通黄</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防水等级：IP53</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工作温度：-40-+70°C</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工作电压：AC220V</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可视距离：&gt;100-250米</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工作触发：精确反馈型毫米波雷达</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速度控制：无线遥控5-99Km/h</w:t>
            </w:r>
          </w:p>
        </w:tc>
        <w:tc>
          <w:tcPr>
            <w:tcW w:w="34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36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c>
          <w:tcPr>
            <w:tcW w:w="853"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c>
          <w:tcPr>
            <w:tcW w:w="91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445" w:type="dxa"/>
            <w:gridSpan w:val="8"/>
            <w:tcBorders>
              <w:top w:val="single" w:color="auto" w:sz="12" w:space="0"/>
              <w:left w:val="single" w:color="auto" w:sz="12"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3.卸药区重点车辆安全管理（</w:t>
            </w:r>
            <w:r>
              <w:rPr>
                <w:rFonts w:hint="eastAsia" w:ascii="仿宋_GB2312" w:hAnsi="仿宋_GB2312" w:eastAsia="仿宋_GB2312" w:cs="仿宋_GB2312"/>
                <w:lang w:val="en-US" w:eastAsia="zh-CN"/>
              </w:rPr>
              <w:t>地面卸药区车辆安全管理部分</w:t>
            </w:r>
            <w:r>
              <w:rPr>
                <w:rFonts w:hint="eastAsia" w:ascii="仿宋_GB2312" w:hAnsi="仿宋_GB2312" w:eastAsia="仿宋_GB2312" w:cs="仿宋_GB2312"/>
                <w:b/>
                <w:bCs/>
                <w:i w:val="0"/>
                <w:iCs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7" w:hRule="exact"/>
        </w:trPr>
        <w:tc>
          <w:tcPr>
            <w:tcW w:w="375" w:type="dxa"/>
            <w:tcBorders>
              <w:top w:val="nil"/>
              <w:left w:val="single" w:color="auto" w:sz="12" w:space="0"/>
              <w:bottom w:val="nil"/>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1</w:t>
            </w:r>
          </w:p>
        </w:tc>
        <w:tc>
          <w:tcPr>
            <w:tcW w:w="73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雷达测速仪</w:t>
            </w:r>
          </w:p>
        </w:tc>
        <w:tc>
          <w:tcPr>
            <w:tcW w:w="1017" w:type="dxa"/>
            <w:tcBorders>
              <w:top w:val="nil"/>
              <w:left w:val="nil"/>
              <w:bottom w:val="nil"/>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ZSZT-CSY-01</w:t>
            </w:r>
          </w:p>
        </w:tc>
        <w:tc>
          <w:tcPr>
            <w:tcW w:w="6847" w:type="dxa"/>
            <w:tcBorders>
              <w:top w:val="nil"/>
              <w:left w:val="nil"/>
              <w:bottom w:val="nil"/>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kern w:val="0"/>
                <w:sz w:val="16"/>
                <w:szCs w:val="16"/>
                <w:u w:val="none"/>
                <w:lang w:val="en-US" w:eastAsia="zh-CN" w:bidi="ar"/>
              </w:rPr>
              <w:t>生产区内限速设备</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外形尺寸：1100*600*90mm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显示屏：数码管、红绿双色显示区域450*390mm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外壳材质：镀锌钢板+喷塑户外交通黄</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防水等级：IP53</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工作温度：-40-+70°C</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工作电压：AC220V</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可视距离：&gt;100-250米</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工作触发：精确反馈型毫米波雷达</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速度控制：无线遥控5-99Km/h</w:t>
            </w:r>
          </w:p>
        </w:tc>
        <w:tc>
          <w:tcPr>
            <w:tcW w:w="343" w:type="dxa"/>
            <w:tcBorders>
              <w:top w:val="nil"/>
              <w:left w:val="nil"/>
              <w:bottom w:val="nil"/>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364" w:type="dxa"/>
            <w:tcBorders>
              <w:top w:val="nil"/>
              <w:left w:val="nil"/>
              <w:bottom w:val="nil"/>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c>
          <w:tcPr>
            <w:tcW w:w="853" w:type="dxa"/>
            <w:tcBorders>
              <w:top w:val="nil"/>
              <w:left w:val="nil"/>
              <w:bottom w:val="nil"/>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c>
          <w:tcPr>
            <w:tcW w:w="915" w:type="dxa"/>
            <w:tcBorders>
              <w:top w:val="nil"/>
              <w:left w:val="nil"/>
              <w:bottom w:val="nil"/>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exact"/>
        </w:trPr>
        <w:tc>
          <w:tcPr>
            <w:tcW w:w="11445" w:type="dxa"/>
            <w:gridSpan w:val="8"/>
            <w:tcBorders>
              <w:top w:val="nil"/>
              <w:left w:val="single" w:color="auto" w:sz="12" w:space="0"/>
              <w:bottom w:val="nil"/>
              <w:right w:val="single" w:color="auto" w:sz="4" w:space="0"/>
            </w:tcBorders>
            <w:shd w:val="clear" w:color="000000" w:fill="FFFFFF"/>
            <w:noWrap/>
            <w:vAlign w:val="center"/>
          </w:tcPr>
          <w:p>
            <w:pPr>
              <w:widowControl/>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color w:val="000000"/>
                <w:kern w:val="0"/>
                <w:sz w:val="18"/>
                <w:szCs w:val="18"/>
              </w:rPr>
              <w:t>项目不含税总金额：</w:t>
            </w:r>
            <w:r>
              <w:rPr>
                <w:rFonts w:hint="eastAsia" w:ascii="仿宋_GB2312" w:hAnsi="仿宋_GB2312" w:eastAsia="仿宋_GB2312" w:cs="仿宋_GB2312"/>
                <w:color w:val="000000"/>
                <w:kern w:val="0"/>
                <w:sz w:val="18"/>
                <w:szCs w:val="18"/>
                <w:lang w:val="en-US" w:eastAsia="zh-CN"/>
              </w:rPr>
              <w:t xml:space="preserve">  </w:t>
            </w:r>
            <w:r>
              <w:rPr>
                <w:rFonts w:hint="eastAsia" w:ascii="仿宋_GB2312" w:hAnsi="仿宋_GB2312" w:eastAsia="仿宋_GB2312" w:cs="仿宋_GB2312"/>
                <w:color w:val="000000"/>
                <w:kern w:val="0"/>
                <w:sz w:val="18"/>
                <w:szCs w:val="18"/>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exact"/>
        </w:trPr>
        <w:tc>
          <w:tcPr>
            <w:tcW w:w="11445" w:type="dxa"/>
            <w:gridSpan w:val="8"/>
            <w:tcBorders>
              <w:top w:val="nil"/>
              <w:left w:val="single" w:color="auto" w:sz="12" w:space="0"/>
              <w:bottom w:val="nil"/>
              <w:right w:val="single" w:color="auto" w:sz="4" w:space="0"/>
            </w:tcBorders>
            <w:shd w:val="clear" w:color="000000" w:fill="FFFFFF"/>
            <w:noWrap/>
            <w:vAlign w:val="center"/>
          </w:tcPr>
          <w:p>
            <w:pPr>
              <w:widowControl/>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color w:val="000000"/>
                <w:kern w:val="0"/>
                <w:sz w:val="18"/>
                <w:szCs w:val="18"/>
                <w:lang w:val="en-US" w:eastAsia="zh-CN"/>
              </w:rPr>
              <w:t>一般纳税人为13</w:t>
            </w:r>
            <w:r>
              <w:rPr>
                <w:rFonts w:hint="eastAsia" w:ascii="仿宋_GB2312" w:hAnsi="仿宋_GB2312" w:eastAsia="仿宋_GB2312" w:cs="仿宋_GB2312"/>
                <w:color w:val="000000"/>
                <w:kern w:val="0"/>
                <w:sz w:val="18"/>
                <w:szCs w:val="18"/>
              </w:rPr>
              <w:t>%增值税：</w:t>
            </w:r>
            <w:r>
              <w:rPr>
                <w:rFonts w:hint="eastAsia" w:ascii="仿宋_GB2312" w:hAnsi="仿宋_GB2312" w:eastAsia="仿宋_GB2312" w:cs="仿宋_GB2312"/>
                <w:color w:val="000000"/>
                <w:kern w:val="0"/>
                <w:sz w:val="18"/>
                <w:szCs w:val="18"/>
                <w:lang w:val="en-US" w:eastAsia="zh-CN"/>
              </w:rPr>
              <w:t xml:space="preserve"> </w:t>
            </w:r>
            <w:r>
              <w:rPr>
                <w:rFonts w:hint="eastAsia" w:ascii="仿宋_GB2312" w:hAnsi="仿宋_GB2312" w:eastAsia="仿宋_GB2312" w:cs="仿宋_GB2312"/>
                <w:color w:val="000000"/>
                <w:kern w:val="0"/>
                <w:sz w:val="18"/>
                <w:szCs w:val="18"/>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11445" w:type="dxa"/>
            <w:gridSpan w:val="8"/>
            <w:tcBorders>
              <w:top w:val="nil"/>
              <w:left w:val="single" w:color="auto" w:sz="12" w:space="0"/>
              <w:bottom w:val="nil"/>
              <w:right w:val="single" w:color="auto" w:sz="4" w:space="0"/>
            </w:tcBorders>
            <w:shd w:val="clear" w:color="000000" w:fill="FFFFFF"/>
            <w:noWrap/>
            <w:vAlign w:val="center"/>
          </w:tcPr>
          <w:p>
            <w:pPr>
              <w:widowControl/>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color w:val="000000"/>
                <w:kern w:val="0"/>
                <w:sz w:val="18"/>
                <w:szCs w:val="18"/>
              </w:rPr>
              <w:t>项目含税总金额：</w:t>
            </w:r>
            <w:r>
              <w:rPr>
                <w:rFonts w:hint="eastAsia" w:ascii="仿宋_GB2312" w:hAnsi="仿宋_GB2312" w:eastAsia="仿宋_GB2312" w:cs="仿宋_GB2312"/>
                <w:color w:val="000000"/>
                <w:kern w:val="0"/>
                <w:sz w:val="18"/>
                <w:szCs w:val="18"/>
                <w:lang w:val="en-US" w:eastAsia="zh-CN"/>
              </w:rPr>
              <w:t xml:space="preserve">   </w:t>
            </w:r>
            <w:r>
              <w:rPr>
                <w:rFonts w:hint="eastAsia" w:ascii="仿宋_GB2312" w:hAnsi="仿宋_GB2312" w:eastAsia="仿宋_GB2312" w:cs="仿宋_GB2312"/>
                <w:color w:val="000000"/>
                <w:kern w:val="0"/>
                <w:sz w:val="18"/>
                <w:szCs w:val="18"/>
              </w:rPr>
              <w:t>(大写:</w:t>
            </w:r>
            <w:r>
              <w:rPr>
                <w:rFonts w:hint="eastAsia" w:ascii="仿宋_GB2312" w:hAnsi="仿宋_GB2312" w:eastAsia="仿宋_GB2312" w:cs="仿宋_GB2312"/>
                <w:color w:val="000000"/>
                <w:kern w:val="0"/>
                <w:sz w:val="18"/>
                <w:szCs w:val="18"/>
                <w:lang w:val="en-US" w:eastAsia="zh-CN"/>
              </w:rPr>
              <w:t xml:space="preserve">  </w:t>
            </w:r>
            <w:r>
              <w:rPr>
                <w:rFonts w:hint="eastAsia" w:ascii="仿宋_GB2312" w:hAnsi="仿宋_GB2312" w:eastAsia="仿宋_GB2312" w:cs="仿宋_GB2312"/>
                <w:color w:val="000000"/>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1445" w:type="dxa"/>
            <w:gridSpan w:val="8"/>
            <w:tcBorders>
              <w:top w:val="nil"/>
              <w:left w:val="single" w:color="auto" w:sz="12" w:space="0"/>
              <w:bottom w:val="single" w:color="auto" w:sz="4" w:space="0"/>
              <w:right w:val="single" w:color="auto" w:sz="4" w:space="0"/>
            </w:tcBorders>
            <w:shd w:val="clear" w:color="000000" w:fill="FFFFFF"/>
            <w:noWrap/>
            <w:vAlign w:val="center"/>
          </w:tcPr>
          <w:p>
            <w:pPr>
              <w:widowControl/>
              <w:jc w:val="center"/>
              <w:textAlignment w:val="center"/>
              <w:rPr>
                <w:rFonts w:hint="eastAsia" w:ascii="仿宋_GB2312" w:hAnsi="仿宋_GB2312" w:eastAsia="仿宋_GB2312" w:cs="仿宋_GB2312"/>
                <w:color w:val="000000"/>
                <w:kern w:val="0"/>
                <w:sz w:val="18"/>
                <w:szCs w:val="18"/>
                <w:lang w:val="en-US" w:eastAsia="zh-CN" w:bidi="ar-SA"/>
              </w:rPr>
            </w:pPr>
            <w:r>
              <w:rPr>
                <w:rFonts w:hint="eastAsia" w:ascii="仿宋_GB2312" w:hAnsi="仿宋_GB2312" w:eastAsia="仿宋_GB2312" w:cs="仿宋_GB2312"/>
                <w:color w:val="000000"/>
                <w:kern w:val="0"/>
                <w:sz w:val="18"/>
                <w:szCs w:val="18"/>
                <w:lang w:val="en-US" w:eastAsia="zh-CN"/>
              </w:rPr>
              <w:t>以上报价包含本项目所需电气管线布置、安装调试</w:t>
            </w:r>
          </w:p>
        </w:tc>
      </w:tr>
    </w:tbl>
    <w:p>
      <w:pPr>
        <w:keepNext w:val="0"/>
        <w:keepLines w:val="0"/>
        <w:pageBreakBefore w:val="0"/>
        <w:kinsoku/>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sz w:val="24"/>
          <w:szCs w:val="24"/>
          <w:highlight w:val="none"/>
          <w:shd w:val="clear" w:color="auto" w:fill="auto"/>
          <w:lang w:val="en-US" w:eastAsia="zh-CN"/>
        </w:rPr>
      </w:pPr>
    </w:p>
    <w:p>
      <w:pPr>
        <w:keepNext w:val="0"/>
        <w:keepLines w:val="0"/>
        <w:pageBreakBefore w:val="0"/>
        <w:kinsoku/>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sz w:val="24"/>
          <w:szCs w:val="24"/>
          <w:highlight w:val="none"/>
          <w:shd w:val="clear" w:color="auto" w:fill="auto"/>
          <w:lang w:val="en-US" w:eastAsia="zh-CN"/>
        </w:rPr>
      </w:pPr>
      <w:r>
        <w:rPr>
          <w:rFonts w:hint="eastAsia" w:ascii="仿宋_GB2312" w:hAnsi="仿宋_GB2312" w:eastAsia="仿宋_GB2312" w:cs="仿宋_GB2312"/>
          <w:color w:val="auto"/>
          <w:sz w:val="24"/>
          <w:szCs w:val="24"/>
          <w:highlight w:val="none"/>
          <w:shd w:val="clear" w:color="auto" w:fill="auto"/>
          <w:lang w:val="en-US" w:eastAsia="zh-CN"/>
        </w:rPr>
        <w:t>注：以上报价包括但不限于人工费、材料费、安装费、运输费、装卸费、加班费、材料运输费用及各项税费等全部费用。</w:t>
      </w:r>
    </w:p>
    <w:p>
      <w:pPr>
        <w:rPr>
          <w:rFonts w:hint="eastAsia" w:ascii="仿宋_GB2312" w:hAnsi="仿宋_GB2312" w:eastAsia="仿宋_GB2312" w:cs="仿宋_GB2312"/>
          <w:color w:val="000000" w:themeColor="text1"/>
          <w:szCs w:val="21"/>
          <w14:textFill>
            <w14:solidFill>
              <w14:schemeClr w14:val="tx1"/>
            </w14:solidFill>
          </w14:textFill>
        </w:rPr>
      </w:pPr>
    </w:p>
    <w:p>
      <w:pPr>
        <w:rPr>
          <w:rFonts w:hint="eastAsia" w:ascii="仿宋_GB2312" w:hAnsi="仿宋_GB2312" w:eastAsia="仿宋_GB2312" w:cs="仿宋_GB2312"/>
          <w:color w:val="000000" w:themeColor="text1"/>
          <w:szCs w:val="21"/>
          <w14:textFill>
            <w14:solidFill>
              <w14:schemeClr w14:val="tx1"/>
            </w14:solidFill>
          </w14:textFill>
        </w:rPr>
      </w:pPr>
    </w:p>
    <w:p>
      <w:pPr>
        <w:widowControl/>
        <w:jc w:val="left"/>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br w:type="page"/>
      </w:r>
    </w:p>
    <w:p>
      <w:pPr>
        <w:spacing w:line="360" w:lineRule="auto"/>
        <w:rPr>
          <w:rFonts w:hint="eastAsia" w:ascii="宋体" w:hAnsi="宋体" w:cs="宋体"/>
          <w:b/>
          <w:bCs/>
          <w:szCs w:val="21"/>
        </w:rPr>
      </w:pPr>
      <w:r>
        <w:rPr>
          <w:rFonts w:hint="eastAsia" w:ascii="黑体" w:hAnsi="黑体" w:eastAsia="黑体" w:cs="黑体"/>
          <w:color w:val="000000" w:themeColor="text1"/>
          <w:sz w:val="32"/>
          <w:szCs w:val="32"/>
          <w14:textFill>
            <w14:solidFill>
              <w14:schemeClr w14:val="tx1"/>
            </w14:solidFill>
          </w14:textFill>
        </w:rPr>
        <w:t>附件6 项目投入人员架构表</w:t>
      </w:r>
    </w:p>
    <w:tbl>
      <w:tblPr>
        <w:tblStyle w:val="25"/>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968"/>
        <w:gridCol w:w="764"/>
        <w:gridCol w:w="2482"/>
        <w:gridCol w:w="2604"/>
        <w:gridCol w:w="1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r>
              <w:rPr>
                <w:rFonts w:hint="eastAsia" w:ascii="宋体" w:hAnsi="宋体" w:cs="宋体"/>
                <w:sz w:val="24"/>
              </w:rPr>
              <w:t>序号</w:t>
            </w:r>
          </w:p>
        </w:tc>
        <w:tc>
          <w:tcPr>
            <w:tcW w:w="9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r>
              <w:rPr>
                <w:rFonts w:hint="eastAsia" w:ascii="宋体" w:hAnsi="宋体" w:cs="宋体"/>
                <w:sz w:val="24"/>
              </w:rPr>
              <w:t>姓名</w:t>
            </w:r>
          </w:p>
        </w:tc>
        <w:tc>
          <w:tcPr>
            <w:tcW w:w="76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r>
              <w:rPr>
                <w:rFonts w:hint="eastAsia" w:ascii="宋体" w:hAnsi="宋体" w:cs="宋体"/>
                <w:sz w:val="24"/>
              </w:rPr>
              <w:t>性别</w:t>
            </w:r>
          </w:p>
        </w:tc>
        <w:tc>
          <w:tcPr>
            <w:tcW w:w="24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r>
              <w:rPr>
                <w:rFonts w:hint="eastAsia" w:ascii="宋体" w:hAnsi="宋体" w:cs="宋体"/>
                <w:sz w:val="24"/>
              </w:rPr>
              <w:t>身份证号</w:t>
            </w:r>
          </w:p>
        </w:tc>
        <w:tc>
          <w:tcPr>
            <w:tcW w:w="260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r>
              <w:rPr>
                <w:rFonts w:hint="eastAsia" w:ascii="宋体" w:hAnsi="宋体" w:cs="宋体"/>
                <w:sz w:val="24"/>
              </w:rPr>
              <w:t>执业或职业资格证明</w:t>
            </w:r>
          </w:p>
        </w:tc>
        <w:tc>
          <w:tcPr>
            <w:tcW w:w="19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9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p>
        </w:tc>
        <w:tc>
          <w:tcPr>
            <w:tcW w:w="24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260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19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9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p>
        </w:tc>
        <w:tc>
          <w:tcPr>
            <w:tcW w:w="24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260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p>
        </w:tc>
        <w:tc>
          <w:tcPr>
            <w:tcW w:w="19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9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24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p>
        </w:tc>
        <w:tc>
          <w:tcPr>
            <w:tcW w:w="260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szCs w:val="21"/>
              </w:rPr>
            </w:pPr>
          </w:p>
        </w:tc>
        <w:tc>
          <w:tcPr>
            <w:tcW w:w="19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4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9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p>
        </w:tc>
        <w:tc>
          <w:tcPr>
            <w:tcW w:w="76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c>
          <w:tcPr>
            <w:tcW w:w="248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cs="宋体"/>
                <w:sz w:val="24"/>
              </w:rPr>
            </w:pPr>
          </w:p>
        </w:tc>
        <w:tc>
          <w:tcPr>
            <w:tcW w:w="260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szCs w:val="21"/>
              </w:rPr>
            </w:pPr>
          </w:p>
        </w:tc>
        <w:tc>
          <w:tcPr>
            <w:tcW w:w="195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sz w:val="24"/>
              </w:rPr>
            </w:pPr>
          </w:p>
        </w:tc>
      </w:tr>
    </w:tbl>
    <w:p>
      <w:pPr>
        <w:rPr>
          <w:rFonts w:hint="eastAsia" w:ascii="仿宋_GB2312" w:hAnsi="仿宋_GB2312" w:eastAsia="仿宋_GB2312" w:cs="仿宋_GB2312"/>
          <w:color w:val="000000" w:themeColor="text1"/>
          <w:szCs w:val="21"/>
          <w14:textFill>
            <w14:solidFill>
              <w14:schemeClr w14:val="tx1"/>
            </w14:solidFill>
          </w14:textFill>
        </w:rPr>
      </w:pPr>
    </w:p>
    <w:p>
      <w:pP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br w:type="page"/>
      </w:r>
    </w:p>
    <w:p>
      <w:pP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附件7 应急物资清单</w:t>
      </w:r>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2387"/>
        <w:gridCol w:w="2124"/>
        <w:gridCol w:w="1812"/>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dxa"/>
            <w:vAlign w:val="center"/>
          </w:tcPr>
          <w:p>
            <w:pPr>
              <w:widowControl/>
              <w:spacing w:line="360" w:lineRule="auto"/>
              <w:jc w:val="center"/>
              <w:rPr>
                <w:rFonts w:hint="eastAsia" w:ascii="宋体" w:hAnsi="宋体" w:eastAsia="宋体" w:cs="宋体"/>
                <w:sz w:val="24"/>
                <w:szCs w:val="24"/>
              </w:rPr>
            </w:pPr>
            <w:r>
              <w:rPr>
                <w:rFonts w:hint="eastAsia" w:ascii="宋体" w:hAnsi="宋体" w:eastAsia="宋体" w:cs="宋体"/>
                <w:sz w:val="24"/>
                <w:szCs w:val="24"/>
              </w:rPr>
              <w:t>序号</w:t>
            </w:r>
          </w:p>
        </w:tc>
        <w:tc>
          <w:tcPr>
            <w:tcW w:w="2387" w:type="dxa"/>
            <w:vAlign w:val="center"/>
          </w:tcPr>
          <w:p>
            <w:pPr>
              <w:widowControl/>
              <w:spacing w:line="360" w:lineRule="auto"/>
              <w:jc w:val="center"/>
              <w:rPr>
                <w:rFonts w:hint="eastAsia" w:ascii="宋体" w:hAnsi="宋体" w:eastAsia="宋体" w:cs="宋体"/>
                <w:sz w:val="24"/>
                <w:szCs w:val="24"/>
              </w:rPr>
            </w:pPr>
            <w:r>
              <w:rPr>
                <w:rFonts w:hint="eastAsia" w:ascii="宋体" w:hAnsi="宋体" w:eastAsia="宋体" w:cs="宋体"/>
                <w:sz w:val="24"/>
                <w:szCs w:val="24"/>
              </w:rPr>
              <w:t>分类</w:t>
            </w:r>
          </w:p>
        </w:tc>
        <w:tc>
          <w:tcPr>
            <w:tcW w:w="2124" w:type="dxa"/>
            <w:vAlign w:val="center"/>
          </w:tcPr>
          <w:p>
            <w:pPr>
              <w:widowControl/>
              <w:spacing w:line="360" w:lineRule="auto"/>
              <w:jc w:val="center"/>
              <w:rPr>
                <w:rFonts w:hint="eastAsia" w:ascii="宋体" w:hAnsi="宋体" w:eastAsia="宋体" w:cs="宋体"/>
                <w:sz w:val="24"/>
                <w:szCs w:val="24"/>
              </w:rPr>
            </w:pPr>
            <w:r>
              <w:rPr>
                <w:rFonts w:hint="eastAsia" w:ascii="宋体" w:hAnsi="宋体" w:eastAsia="宋体" w:cs="宋体"/>
                <w:sz w:val="24"/>
                <w:szCs w:val="24"/>
              </w:rPr>
              <w:t>设备设施、材料</w:t>
            </w:r>
          </w:p>
        </w:tc>
        <w:tc>
          <w:tcPr>
            <w:tcW w:w="1812" w:type="dxa"/>
            <w:vAlign w:val="center"/>
          </w:tcPr>
          <w:p>
            <w:pPr>
              <w:widowControl/>
              <w:spacing w:line="360" w:lineRule="auto"/>
              <w:jc w:val="center"/>
              <w:rPr>
                <w:rFonts w:hint="eastAsia" w:ascii="宋体" w:hAnsi="宋体" w:eastAsia="宋体" w:cs="宋体"/>
                <w:sz w:val="24"/>
                <w:szCs w:val="24"/>
              </w:rPr>
            </w:pPr>
            <w:r>
              <w:rPr>
                <w:rFonts w:hint="eastAsia" w:ascii="宋体" w:hAnsi="宋体" w:eastAsia="宋体" w:cs="宋体"/>
                <w:sz w:val="24"/>
                <w:szCs w:val="24"/>
              </w:rPr>
              <w:t>数量</w:t>
            </w:r>
          </w:p>
        </w:tc>
        <w:tc>
          <w:tcPr>
            <w:tcW w:w="1812" w:type="dxa"/>
            <w:vAlign w:val="center"/>
          </w:tcPr>
          <w:p>
            <w:pPr>
              <w:widowControl/>
              <w:spacing w:line="360" w:lineRule="auto"/>
              <w:jc w:val="center"/>
              <w:rPr>
                <w:rFonts w:hint="eastAsia" w:ascii="宋体" w:hAnsi="宋体" w:eastAsia="宋体" w:cs="宋体"/>
                <w:sz w:val="24"/>
                <w:szCs w:val="24"/>
              </w:rPr>
            </w:pPr>
            <w:r>
              <w:rPr>
                <w:rFonts w:hint="eastAsia" w:ascii="宋体" w:hAnsi="宋体" w:eastAsia="宋体"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dxa"/>
            <w:vAlign w:val="center"/>
          </w:tcPr>
          <w:p>
            <w:pPr>
              <w:widowControl/>
              <w:spacing w:line="360" w:lineRule="auto"/>
              <w:jc w:val="center"/>
              <w:rPr>
                <w:rFonts w:hint="eastAsia" w:ascii="宋体" w:hAnsi="宋体" w:eastAsia="宋体" w:cs="宋体"/>
                <w:sz w:val="24"/>
                <w:szCs w:val="24"/>
              </w:rPr>
            </w:pPr>
          </w:p>
        </w:tc>
        <w:tc>
          <w:tcPr>
            <w:tcW w:w="2387" w:type="dxa"/>
            <w:vAlign w:val="center"/>
          </w:tcPr>
          <w:p>
            <w:pPr>
              <w:widowControl/>
              <w:spacing w:line="360" w:lineRule="auto"/>
              <w:jc w:val="center"/>
              <w:rPr>
                <w:rFonts w:hint="eastAsia" w:ascii="宋体" w:hAnsi="宋体" w:eastAsia="宋体" w:cs="宋体"/>
                <w:sz w:val="24"/>
                <w:szCs w:val="24"/>
              </w:rPr>
            </w:pPr>
          </w:p>
        </w:tc>
        <w:tc>
          <w:tcPr>
            <w:tcW w:w="2124" w:type="dxa"/>
            <w:vAlign w:val="center"/>
          </w:tcPr>
          <w:p>
            <w:pPr>
              <w:widowControl/>
              <w:spacing w:line="360" w:lineRule="auto"/>
              <w:jc w:val="center"/>
              <w:rPr>
                <w:rFonts w:hint="eastAsia" w:ascii="宋体" w:hAnsi="宋体" w:eastAsia="宋体" w:cs="宋体"/>
                <w:sz w:val="24"/>
                <w:szCs w:val="24"/>
              </w:rPr>
            </w:pPr>
          </w:p>
        </w:tc>
        <w:tc>
          <w:tcPr>
            <w:tcW w:w="1812" w:type="dxa"/>
            <w:vAlign w:val="center"/>
          </w:tcPr>
          <w:p>
            <w:pPr>
              <w:widowControl/>
              <w:spacing w:line="360" w:lineRule="auto"/>
              <w:jc w:val="center"/>
              <w:rPr>
                <w:rFonts w:hint="eastAsia" w:ascii="宋体" w:hAnsi="宋体" w:eastAsia="宋体" w:cs="宋体"/>
                <w:sz w:val="24"/>
                <w:szCs w:val="24"/>
              </w:rPr>
            </w:pPr>
          </w:p>
        </w:tc>
        <w:tc>
          <w:tcPr>
            <w:tcW w:w="1812" w:type="dxa"/>
            <w:vAlign w:val="center"/>
          </w:tcPr>
          <w:p>
            <w:pPr>
              <w:widowControl/>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dxa"/>
            <w:vAlign w:val="center"/>
          </w:tcPr>
          <w:p>
            <w:pPr>
              <w:widowControl/>
              <w:spacing w:line="360" w:lineRule="auto"/>
              <w:jc w:val="center"/>
              <w:rPr>
                <w:rFonts w:hint="eastAsia" w:ascii="宋体" w:hAnsi="宋体" w:eastAsia="宋体" w:cs="宋体"/>
                <w:sz w:val="24"/>
                <w:szCs w:val="24"/>
              </w:rPr>
            </w:pPr>
          </w:p>
        </w:tc>
        <w:tc>
          <w:tcPr>
            <w:tcW w:w="2387" w:type="dxa"/>
            <w:vAlign w:val="center"/>
          </w:tcPr>
          <w:p>
            <w:pPr>
              <w:widowControl/>
              <w:spacing w:line="360" w:lineRule="auto"/>
              <w:jc w:val="center"/>
              <w:rPr>
                <w:rFonts w:hint="eastAsia" w:ascii="宋体" w:hAnsi="宋体" w:eastAsia="宋体" w:cs="宋体"/>
                <w:sz w:val="24"/>
                <w:szCs w:val="24"/>
              </w:rPr>
            </w:pPr>
          </w:p>
        </w:tc>
        <w:tc>
          <w:tcPr>
            <w:tcW w:w="2124" w:type="dxa"/>
            <w:vAlign w:val="center"/>
          </w:tcPr>
          <w:p>
            <w:pPr>
              <w:widowControl/>
              <w:spacing w:line="360" w:lineRule="auto"/>
              <w:jc w:val="center"/>
              <w:rPr>
                <w:rFonts w:hint="eastAsia" w:ascii="宋体" w:hAnsi="宋体" w:eastAsia="宋体" w:cs="宋体"/>
                <w:sz w:val="24"/>
                <w:szCs w:val="24"/>
              </w:rPr>
            </w:pPr>
          </w:p>
        </w:tc>
        <w:tc>
          <w:tcPr>
            <w:tcW w:w="1812" w:type="dxa"/>
            <w:vAlign w:val="center"/>
          </w:tcPr>
          <w:p>
            <w:pPr>
              <w:widowControl/>
              <w:spacing w:line="360" w:lineRule="auto"/>
              <w:jc w:val="center"/>
              <w:rPr>
                <w:rFonts w:hint="eastAsia" w:ascii="宋体" w:hAnsi="宋体" w:eastAsia="宋体" w:cs="宋体"/>
                <w:sz w:val="24"/>
                <w:szCs w:val="24"/>
              </w:rPr>
            </w:pPr>
          </w:p>
        </w:tc>
        <w:tc>
          <w:tcPr>
            <w:tcW w:w="1812" w:type="dxa"/>
            <w:vAlign w:val="center"/>
          </w:tcPr>
          <w:p>
            <w:pPr>
              <w:widowControl/>
              <w:spacing w:line="360" w:lineRule="auto"/>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dxa"/>
            <w:vAlign w:val="center"/>
          </w:tcPr>
          <w:p>
            <w:pPr>
              <w:widowControl/>
              <w:spacing w:line="360" w:lineRule="auto"/>
              <w:jc w:val="center"/>
              <w:rPr>
                <w:rFonts w:hint="eastAsia" w:ascii="宋体" w:hAnsi="宋体" w:eastAsia="宋体" w:cs="宋体"/>
                <w:sz w:val="24"/>
                <w:szCs w:val="24"/>
              </w:rPr>
            </w:pPr>
          </w:p>
        </w:tc>
        <w:tc>
          <w:tcPr>
            <w:tcW w:w="2387" w:type="dxa"/>
            <w:vAlign w:val="center"/>
          </w:tcPr>
          <w:p>
            <w:pPr>
              <w:widowControl/>
              <w:spacing w:line="360" w:lineRule="auto"/>
              <w:jc w:val="center"/>
              <w:rPr>
                <w:rFonts w:hint="eastAsia" w:ascii="宋体" w:hAnsi="宋体" w:eastAsia="宋体" w:cs="宋体"/>
                <w:sz w:val="24"/>
                <w:szCs w:val="24"/>
              </w:rPr>
            </w:pPr>
          </w:p>
        </w:tc>
        <w:tc>
          <w:tcPr>
            <w:tcW w:w="2124" w:type="dxa"/>
            <w:vAlign w:val="center"/>
          </w:tcPr>
          <w:p>
            <w:pPr>
              <w:widowControl/>
              <w:spacing w:line="360" w:lineRule="auto"/>
              <w:jc w:val="center"/>
              <w:rPr>
                <w:rFonts w:hint="eastAsia" w:ascii="宋体" w:hAnsi="宋体" w:eastAsia="宋体" w:cs="宋体"/>
                <w:sz w:val="24"/>
                <w:szCs w:val="24"/>
              </w:rPr>
            </w:pPr>
          </w:p>
        </w:tc>
        <w:tc>
          <w:tcPr>
            <w:tcW w:w="1812" w:type="dxa"/>
            <w:vAlign w:val="center"/>
          </w:tcPr>
          <w:p>
            <w:pPr>
              <w:widowControl/>
              <w:spacing w:line="360" w:lineRule="auto"/>
              <w:jc w:val="center"/>
              <w:rPr>
                <w:rFonts w:hint="eastAsia" w:ascii="宋体" w:hAnsi="宋体" w:eastAsia="宋体" w:cs="宋体"/>
                <w:sz w:val="24"/>
                <w:szCs w:val="24"/>
              </w:rPr>
            </w:pPr>
          </w:p>
        </w:tc>
        <w:tc>
          <w:tcPr>
            <w:tcW w:w="1812" w:type="dxa"/>
            <w:vAlign w:val="center"/>
          </w:tcPr>
          <w:p>
            <w:pPr>
              <w:widowControl/>
              <w:spacing w:line="360" w:lineRule="auto"/>
              <w:jc w:val="center"/>
              <w:rPr>
                <w:rFonts w:hint="eastAsia" w:ascii="宋体" w:hAnsi="宋体" w:eastAsia="宋体" w:cs="宋体"/>
                <w:sz w:val="24"/>
                <w:szCs w:val="24"/>
              </w:rPr>
            </w:pPr>
          </w:p>
        </w:tc>
      </w:tr>
    </w:tbl>
    <w:p>
      <w:pPr>
        <w:rPr>
          <w:rFonts w:hint="eastAsia"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br w:type="page"/>
      </w:r>
    </w:p>
    <w:p>
      <w:pPr>
        <w:spacing w:line="320" w:lineRule="exact"/>
        <w:rPr>
          <w:rFonts w:hint="eastAsia" w:ascii="黑体" w:hAnsi="黑体" w:eastAsia="黑体" w:cs="黑体"/>
          <w:sz w:val="32"/>
          <w:szCs w:val="32"/>
        </w:rPr>
      </w:pPr>
      <w:r>
        <w:rPr>
          <w:rFonts w:hint="eastAsia" w:ascii="黑体" w:hAnsi="黑体" w:eastAsia="黑体" w:cs="黑体"/>
          <w:color w:val="000000" w:themeColor="text1"/>
          <w:sz w:val="32"/>
          <w:szCs w:val="32"/>
          <w14:textFill>
            <w14:solidFill>
              <w14:schemeClr w14:val="tx1"/>
            </w14:solidFill>
          </w14:textFill>
        </w:rPr>
        <w:t>附件8</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施工作业人员工资支付情况说明（模板）</w:t>
      </w:r>
    </w:p>
    <w:p>
      <w:pPr>
        <w:rPr>
          <w:sz w:val="40"/>
          <w:szCs w:val="40"/>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广州市净水有限公司:</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我公司负责建设的《XX合同》已经按合同约定完成施工，该项目施工作业人员工资已相应支付，无扣款、无拖延拖欠情况。</w:t>
      </w: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特此说明!</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项目承包单位(公章):</w:t>
      </w:r>
    </w:p>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项目负责人(签名):</w:t>
      </w:r>
    </w:p>
    <w:p>
      <w:pPr>
        <w:ind w:firstLine="5600" w:firstLineChars="20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（该项目所有施工作业人员）施工作业人员确认签字（加盖手印）： </w:t>
      </w:r>
    </w:p>
    <w:p>
      <w:pPr>
        <w:pStyle w:val="24"/>
        <w:rPr>
          <w:rFonts w:hint="eastAsia" w:eastAsia="宋体" w:cs="宋体"/>
          <w:color w:val="000000" w:themeColor="text1"/>
          <w14:textFill>
            <w14:solidFill>
              <w14:schemeClr w14:val="tx1"/>
            </w14:solidFill>
          </w14:textFill>
        </w:rPr>
      </w:pPr>
    </w:p>
    <w:p>
      <w:pPr>
        <w:spacing w:line="360" w:lineRule="auto"/>
        <w:rPr>
          <w:rFonts w:hint="eastAsia" w:ascii="宋体" w:hAnsi="宋体" w:cs="宋体"/>
          <w:sz w:val="24"/>
          <w:szCs w:val="24"/>
        </w:rPr>
      </w:pPr>
    </w:p>
    <w:p>
      <w:pPr>
        <w:spacing w:line="360" w:lineRule="auto"/>
        <w:jc w:val="center"/>
        <w:rPr>
          <w:rFonts w:hint="eastAsia" w:ascii="宋体" w:hAnsi="宋体" w:cs="宋体"/>
          <w:sz w:val="24"/>
          <w:szCs w:val="24"/>
        </w:rPr>
      </w:pPr>
    </w:p>
    <w:p>
      <w:pPr>
        <w:pStyle w:val="15"/>
      </w:pPr>
    </w:p>
    <w:p>
      <w:pPr>
        <w:pStyle w:val="15"/>
      </w:pPr>
    </w:p>
    <w:p>
      <w:pPr>
        <w:pStyle w:val="15"/>
      </w:pPr>
    </w:p>
    <w:p>
      <w:pPr>
        <w:pBdr>
          <w:top w:val="double" w:color="auto" w:sz="4" w:space="0"/>
          <w:bottom w:val="double" w:color="auto" w:sz="4" w:space="0"/>
        </w:pBdr>
        <w:spacing w:line="360" w:lineRule="auto"/>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第七章</w:t>
      </w:r>
    </w:p>
    <w:p>
      <w:pPr>
        <w:spacing w:line="360" w:lineRule="auto"/>
        <w:jc w:val="left"/>
        <w:rPr>
          <w:rFonts w:hint="eastAsia" w:ascii="仿宋_GB2312" w:eastAsia="仿宋_GB2312" w:hAnsiTheme="minorEastAsia"/>
          <w:sz w:val="28"/>
          <w:szCs w:val="28"/>
        </w:rPr>
      </w:pPr>
    </w:p>
    <w:p>
      <w:pPr>
        <w:pStyle w:val="3"/>
      </w:pPr>
      <w:r>
        <w:rPr>
          <w:rFonts w:hint="eastAsia"/>
        </w:rPr>
        <w:t>响应文件格式要求</w:t>
      </w:r>
    </w:p>
    <w:p>
      <w:pPr>
        <w:rPr>
          <w:rFonts w:hint="eastAsia" w:ascii="仿宋_GB2312" w:eastAsia="仿宋_GB2312" w:hAnsiTheme="minorEastAsia"/>
          <w:sz w:val="28"/>
          <w:szCs w:val="28"/>
        </w:rPr>
      </w:pPr>
      <w:r>
        <w:rPr>
          <w:rFonts w:ascii="仿宋_GB2312" w:eastAsia="仿宋_GB2312" w:hAnsiTheme="minorEastAsia"/>
          <w:sz w:val="28"/>
          <w:szCs w:val="28"/>
        </w:rPr>
        <w:br w:type="page"/>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u w:val="single"/>
        </w:rPr>
      </w:pPr>
      <w:r>
        <w:rPr>
          <w:rFonts w:hint="eastAsia" w:ascii="方正小标宋简体" w:eastAsia="方正小标宋简体"/>
          <w:sz w:val="44"/>
          <w:szCs w:val="44"/>
          <w:u w:val="single"/>
        </w:rPr>
        <w:t>（项目名称、标段/标包号）</w:t>
      </w:r>
    </w:p>
    <w:p>
      <w:pPr>
        <w:adjustRightInd w:val="0"/>
        <w:snapToGrid w:val="0"/>
        <w:spacing w:before="156" w:beforeLines="50" w:after="156" w:afterLines="50" w:line="600" w:lineRule="exact"/>
        <w:jc w:val="center"/>
        <w:rPr>
          <w:rFonts w:ascii="仿宋_GB2312" w:eastAsia="仿宋_GB2312"/>
          <w:sz w:val="30"/>
          <w:szCs w:val="30"/>
        </w:rPr>
      </w:pPr>
    </w:p>
    <w:p>
      <w:pPr>
        <w:adjustRightInd w:val="0"/>
        <w:snapToGrid w:val="0"/>
        <w:spacing w:before="156" w:beforeLines="50" w:after="156" w:afterLines="50" w:line="600" w:lineRule="exact"/>
        <w:jc w:val="center"/>
        <w:rPr>
          <w:rFonts w:ascii="仿宋_GB2312" w:eastAsia="仿宋_GB2312"/>
          <w:sz w:val="30"/>
          <w:szCs w:val="30"/>
        </w:rPr>
      </w:pPr>
      <w:r>
        <w:rPr>
          <w:rFonts w:hint="eastAsia" w:ascii="仿宋_GB2312" w:eastAsia="仿宋_GB2312"/>
          <w:sz w:val="30"/>
          <w:szCs w:val="30"/>
        </w:rPr>
        <w:t>（项目编号：   ）</w:t>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jc w:val="center"/>
        <w:rPr>
          <w:rFonts w:ascii="方正小标宋简体" w:eastAsia="方正小标宋简体"/>
          <w:sz w:val="48"/>
          <w:szCs w:val="48"/>
        </w:rPr>
      </w:pPr>
    </w:p>
    <w:p>
      <w:pPr>
        <w:adjustRightInd w:val="0"/>
        <w:snapToGrid w:val="0"/>
        <w:spacing w:line="600" w:lineRule="exact"/>
        <w:ind w:left="1" w:firstLine="709" w:firstLineChars="197"/>
        <w:jc w:val="center"/>
        <w:rPr>
          <w:rFonts w:hint="eastAsia" w:ascii="仿宋_GB2312" w:eastAsia="仿宋_GB2312" w:hAnsiTheme="minorEastAsia"/>
          <w:sz w:val="36"/>
          <w:szCs w:val="36"/>
        </w:rPr>
      </w:pPr>
      <w:r>
        <w:rPr>
          <w:rFonts w:hint="eastAsia" w:ascii="仿宋_GB2312" w:eastAsia="仿宋_GB2312" w:hAnsiTheme="minorEastAsia"/>
          <w:sz w:val="36"/>
          <w:szCs w:val="36"/>
        </w:rPr>
        <w:t>供应商：</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（单位公章）</w:t>
      </w:r>
    </w:p>
    <w:p>
      <w:pPr>
        <w:adjustRightInd w:val="0"/>
        <w:snapToGrid w:val="0"/>
        <w:spacing w:line="600" w:lineRule="exact"/>
        <w:ind w:left="1" w:right="560" w:firstLine="709" w:firstLineChars="197"/>
        <w:jc w:val="center"/>
        <w:rPr>
          <w:rFonts w:hint="eastAsia" w:ascii="仿宋_GB2312" w:eastAsia="仿宋_GB2312" w:hAnsiTheme="minorEastAsia"/>
          <w:sz w:val="36"/>
          <w:szCs w:val="36"/>
        </w:rPr>
      </w:pP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年</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月</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日</w:t>
      </w:r>
    </w:p>
    <w:p>
      <w:pPr>
        <w:rPr>
          <w:rFonts w:hint="eastAsia" w:ascii="仿宋_GB2312" w:eastAsia="仿宋_GB2312" w:hAnsiTheme="minorEastAsia"/>
          <w:sz w:val="36"/>
          <w:szCs w:val="36"/>
        </w:rPr>
      </w:pPr>
      <w:r>
        <w:rPr>
          <w:rFonts w:hint="eastAsia" w:ascii="仿宋_GB2312" w:eastAsia="仿宋_GB2312" w:hAnsiTheme="minorEastAsia"/>
          <w:sz w:val="36"/>
          <w:szCs w:val="36"/>
        </w:rPr>
        <w:br w:type="page"/>
      </w:r>
    </w:p>
    <w:p>
      <w:pPr>
        <w:adjustRightInd w:val="0"/>
        <w:snapToGrid w:val="0"/>
        <w:spacing w:before="156" w:beforeLines="50" w:after="156" w:afterLines="50" w:line="600" w:lineRule="exact"/>
        <w:jc w:val="center"/>
        <w:rPr>
          <w:rFonts w:ascii="方正小标宋简体" w:eastAsia="方正小标宋简体"/>
          <w:sz w:val="44"/>
          <w:szCs w:val="44"/>
        </w:rPr>
      </w:pPr>
      <w:r>
        <w:rPr>
          <w:rFonts w:ascii="方正小标宋简体" w:eastAsia="方正小标宋简体"/>
          <w:sz w:val="44"/>
          <w:szCs w:val="44"/>
        </w:rPr>
        <w:t>目</w:t>
      </w:r>
      <w:r>
        <w:rPr>
          <w:rFonts w:hint="eastAsia" w:ascii="方正小标宋简体" w:eastAsia="方正小标宋简体"/>
          <w:sz w:val="44"/>
          <w:szCs w:val="44"/>
        </w:rPr>
        <w:t xml:space="preserve">   </w:t>
      </w:r>
      <w:r>
        <w:rPr>
          <w:rFonts w:ascii="方正小标宋简体" w:eastAsia="方正小标宋简体"/>
          <w:sz w:val="44"/>
          <w:szCs w:val="44"/>
        </w:rPr>
        <w:t>录</w:t>
      </w:r>
    </w:p>
    <w:p>
      <w:pPr>
        <w:adjustRightInd w:val="0"/>
        <w:snapToGrid w:val="0"/>
        <w:spacing w:line="600" w:lineRule="exact"/>
        <w:jc w:val="center"/>
        <w:rPr>
          <w:rFonts w:ascii="方正小标宋简体" w:eastAsia="方正小标宋简体"/>
          <w:sz w:val="28"/>
          <w:szCs w:val="28"/>
        </w:rPr>
      </w:pPr>
    </w:p>
    <w:p>
      <w:pPr>
        <w:adjustRightInd w:val="0"/>
        <w:snapToGrid w:val="0"/>
        <w:spacing w:line="600" w:lineRule="exact"/>
        <w:rPr>
          <w:rFonts w:ascii="仿宋_GB2312" w:eastAsia="仿宋_GB2312"/>
          <w:sz w:val="28"/>
          <w:szCs w:val="28"/>
        </w:rPr>
      </w:pPr>
      <w:bookmarkStart w:id="97" w:name="_Toc87616389"/>
      <w:bookmarkStart w:id="98" w:name="_Toc88209952"/>
      <w:r>
        <w:rPr>
          <w:rFonts w:hint="eastAsia" w:ascii="仿宋_GB2312" w:eastAsia="仿宋_GB2312"/>
          <w:sz w:val="28"/>
          <w:szCs w:val="28"/>
        </w:rPr>
        <w:t>1.响应函</w:t>
      </w:r>
      <w:bookmarkEnd w:id="97"/>
      <w:bookmarkEnd w:id="98"/>
    </w:p>
    <w:p>
      <w:pPr>
        <w:adjustRightInd w:val="0"/>
        <w:snapToGrid w:val="0"/>
        <w:spacing w:line="600" w:lineRule="exact"/>
        <w:rPr>
          <w:rFonts w:ascii="仿宋_GB2312" w:eastAsia="仿宋_GB2312"/>
          <w:sz w:val="28"/>
          <w:szCs w:val="28"/>
        </w:rPr>
      </w:pPr>
      <w:bookmarkStart w:id="99" w:name="_Toc87616390"/>
      <w:bookmarkStart w:id="100" w:name="_Toc88209953"/>
      <w:r>
        <w:rPr>
          <w:rFonts w:hint="eastAsia" w:ascii="仿宋_GB2312" w:eastAsia="仿宋_GB2312"/>
          <w:sz w:val="28"/>
          <w:szCs w:val="28"/>
        </w:rPr>
        <w:t>2.法定代表人证明或授权委托书</w:t>
      </w:r>
      <w:bookmarkEnd w:id="99"/>
      <w:bookmarkEnd w:id="100"/>
      <w:bookmarkStart w:id="101" w:name="_Toc87616393"/>
      <w:bookmarkStart w:id="102" w:name="_Toc88209956"/>
      <w:r>
        <w:rPr>
          <w:rFonts w:hint="eastAsia" w:ascii="仿宋_GB2312" w:eastAsia="仿宋_GB2312"/>
          <w:sz w:val="28"/>
          <w:szCs w:val="28"/>
        </w:rPr>
        <w:cr/>
      </w:r>
      <w:r>
        <w:rPr>
          <w:rFonts w:hint="eastAsia" w:ascii="仿宋_GB2312" w:eastAsia="仿宋_GB2312"/>
          <w:sz w:val="28"/>
          <w:szCs w:val="28"/>
        </w:rPr>
        <w:t>3.资格审查资料</w:t>
      </w:r>
      <w:r>
        <w:rPr>
          <w:rFonts w:hint="eastAsia" w:ascii="仿宋_GB2312" w:eastAsia="仿宋_GB2312"/>
          <w:sz w:val="28"/>
          <w:szCs w:val="28"/>
        </w:rPr>
        <w:cr/>
      </w:r>
      <w:r>
        <w:rPr>
          <w:rFonts w:hint="eastAsia" w:ascii="仿宋_GB2312" w:eastAsia="仿宋_GB2312"/>
          <w:sz w:val="28"/>
          <w:szCs w:val="28"/>
        </w:rPr>
        <w:t>4.拟投入本项目的项目负责人情况表</w:t>
      </w:r>
    </w:p>
    <w:p>
      <w:pPr>
        <w:rPr>
          <w:rFonts w:ascii="仿宋_GB2312" w:eastAsia="仿宋_GB2312"/>
          <w:sz w:val="28"/>
          <w:szCs w:val="28"/>
        </w:rPr>
      </w:pPr>
      <w:r>
        <w:rPr>
          <w:rFonts w:hint="eastAsia" w:ascii="仿宋_GB2312" w:eastAsia="仿宋_GB2312"/>
          <w:sz w:val="28"/>
          <w:szCs w:val="28"/>
        </w:rPr>
        <w:t>5.报价表</w:t>
      </w:r>
      <w:r>
        <w:rPr>
          <w:rFonts w:hint="eastAsia" w:ascii="仿宋_GB2312" w:eastAsia="仿宋_GB2312"/>
          <w:sz w:val="28"/>
          <w:szCs w:val="28"/>
        </w:rPr>
        <w:cr/>
      </w:r>
      <w:r>
        <w:rPr>
          <w:rFonts w:hint="eastAsia" w:ascii="仿宋_GB2312" w:eastAsia="仿宋_GB2312"/>
          <w:sz w:val="28"/>
          <w:szCs w:val="28"/>
        </w:rPr>
        <w:t>6.其他资料</w:t>
      </w:r>
      <w:bookmarkEnd w:id="101"/>
      <w:bookmarkEnd w:id="102"/>
      <w:r>
        <w:rPr>
          <w:rFonts w:hint="eastAsia" w:ascii="仿宋_GB2312" w:eastAsia="仿宋_GB2312"/>
          <w:sz w:val="28"/>
          <w:szCs w:val="28"/>
        </w:rPr>
        <w:cr/>
      </w:r>
      <w:r>
        <w:rPr>
          <w:rFonts w:hint="eastAsia" w:ascii="仿宋_GB2312" w:eastAsia="仿宋_GB2312"/>
          <w:sz w:val="28"/>
          <w:szCs w:val="28"/>
        </w:rPr>
        <w:br w:type="page"/>
      </w:r>
    </w:p>
    <w:p>
      <w:pPr>
        <w:spacing w:line="360" w:lineRule="auto"/>
        <w:rPr>
          <w:rFonts w:hint="eastAsia" w:ascii="黑体" w:hAnsi="黑体" w:eastAsia="黑体" w:cs="黑体"/>
          <w:b/>
          <w:bCs/>
          <w:sz w:val="32"/>
          <w:szCs w:val="32"/>
        </w:rPr>
      </w:pPr>
      <w:bookmarkStart w:id="103" w:name="_Toc12665"/>
      <w:bookmarkStart w:id="104" w:name="_Toc6313"/>
      <w:bookmarkStart w:id="105" w:name="_Toc87616394"/>
      <w:bookmarkStart w:id="106" w:name="_Toc28619645"/>
      <w:bookmarkStart w:id="107" w:name="_Toc88209957"/>
      <w:r>
        <w:rPr>
          <w:rFonts w:hint="eastAsia" w:ascii="黑体" w:hAnsi="黑体" w:eastAsia="黑体" w:cs="黑体"/>
          <w:b/>
          <w:bCs/>
          <w:sz w:val="32"/>
          <w:szCs w:val="32"/>
        </w:rPr>
        <w:t>1.响应函</w:t>
      </w:r>
      <w:bookmarkEnd w:id="103"/>
      <w:bookmarkEnd w:id="104"/>
      <w:bookmarkEnd w:id="105"/>
      <w:bookmarkEnd w:id="106"/>
      <w:bookmarkEnd w:id="107"/>
    </w:p>
    <w:p>
      <w:pPr>
        <w:spacing w:line="360" w:lineRule="auto"/>
        <w:rPr>
          <w:rFonts w:hint="eastAsia" w:ascii="仿宋_GB2312" w:hAnsi="黑体" w:eastAsia="仿宋_GB2312"/>
          <w:sz w:val="28"/>
          <w:szCs w:val="28"/>
        </w:rPr>
      </w:pPr>
      <w:r>
        <w:rPr>
          <w:rFonts w:hint="eastAsia" w:ascii="仿宋_GB2312" w:hAnsi="黑体" w:eastAsia="仿宋_GB2312"/>
          <w:sz w:val="28"/>
          <w:szCs w:val="28"/>
        </w:rPr>
        <w:t>1.1响应函</w:t>
      </w:r>
    </w:p>
    <w:p>
      <w:pPr>
        <w:spacing w:line="360" w:lineRule="auto"/>
        <w:rPr>
          <w:rFonts w:hint="eastAsia" w:ascii="仿宋_GB2312" w:hAnsi="黑体" w:eastAsia="仿宋_GB2312"/>
          <w:sz w:val="28"/>
          <w:szCs w:val="28"/>
          <w:u w:val="single"/>
        </w:rPr>
      </w:pPr>
    </w:p>
    <w:p>
      <w:pPr>
        <w:spacing w:line="360" w:lineRule="auto"/>
        <w:rPr>
          <w:rFonts w:hint="eastAsia" w:ascii="仿宋_GB2312" w:hAnsi="黑体" w:eastAsia="仿宋_GB2312"/>
          <w:sz w:val="28"/>
          <w:szCs w:val="28"/>
          <w:u w:val="single"/>
        </w:rPr>
      </w:pPr>
      <w:r>
        <w:rPr>
          <w:rFonts w:hint="eastAsia" w:ascii="仿宋_GB2312" w:hAnsi="黑体" w:eastAsia="仿宋_GB2312"/>
          <w:sz w:val="28"/>
          <w:szCs w:val="28"/>
          <w:u w:val="single"/>
        </w:rPr>
        <w:t>至（采购人名称）：</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1.我方已仔细研究了（项目名称、项目编号、标段/标包号）   采购文件的全部内容，愿意以含税价人民币（大写）     (¥      ）的报价完成/提供本项目□工程 □货物□服务并按合同约定履行义务。</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2.我方响应文件包括下列内容：</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（1）响应函</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（2）法定代表人证明或授权委托书</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（3）资格审查资料</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（4）拟投入本项目的项目负责人情况表</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（5）报价表</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（6）其他资料</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响应文件的上述组成部分如有不一致的内容，以响应函为准。</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3.我方完全理解采购文件中所有要求均为实质性响应条款，如有任何一条负偏离或者不满足将导致响应文件无效。由于我方提供资料不实或与需求书中所有条款不符而造成的责任和后果由我方承担。</w:t>
      </w:r>
    </w:p>
    <w:p>
      <w:pPr>
        <w:spacing w:line="360" w:lineRule="auto"/>
        <w:ind w:firstLine="560" w:firstLineChars="200"/>
        <w:rPr>
          <w:rFonts w:hint="eastAsia" w:ascii="仿宋_GB2312" w:hAnsi="黑体" w:eastAsia="仿宋_GB2312"/>
          <w:sz w:val="28"/>
          <w:szCs w:val="28"/>
        </w:rPr>
      </w:pPr>
      <w:r>
        <w:rPr>
          <w:rFonts w:ascii="仿宋_GB2312" w:hAnsi="黑体" w:eastAsia="仿宋_GB2312"/>
          <w:sz w:val="28"/>
          <w:szCs w:val="28"/>
        </w:rPr>
        <w:t>4</w:t>
      </w:r>
      <w:r>
        <w:rPr>
          <w:rFonts w:hint="eastAsia" w:ascii="仿宋_GB2312" w:hAnsi="黑体" w:eastAsia="仿宋_GB2312"/>
          <w:sz w:val="28"/>
          <w:szCs w:val="28"/>
        </w:rPr>
        <w:t>.</w:t>
      </w:r>
      <w:r>
        <w:rPr>
          <w:rFonts w:ascii="仿宋_GB2312" w:hAnsi="黑体" w:eastAsia="仿宋_GB2312"/>
          <w:sz w:val="28"/>
          <w:szCs w:val="28"/>
        </w:rPr>
        <w:t>我方承诺在</w:t>
      </w:r>
      <w:r>
        <w:rPr>
          <w:rFonts w:hint="eastAsia" w:ascii="仿宋_GB2312" w:hAnsi="黑体" w:eastAsia="仿宋_GB2312"/>
          <w:sz w:val="28"/>
          <w:szCs w:val="28"/>
        </w:rPr>
        <w:t>采购</w:t>
      </w:r>
      <w:r>
        <w:rPr>
          <w:rFonts w:ascii="仿宋_GB2312" w:hAnsi="黑体" w:eastAsia="仿宋_GB2312"/>
          <w:sz w:val="28"/>
          <w:szCs w:val="28"/>
        </w:rPr>
        <w:t>文件有效期内不撤销响应文件。</w:t>
      </w:r>
    </w:p>
    <w:p>
      <w:pPr>
        <w:spacing w:line="360" w:lineRule="auto"/>
        <w:ind w:firstLine="560" w:firstLineChars="200"/>
        <w:rPr>
          <w:rFonts w:hint="eastAsia" w:ascii="仿宋_GB2312" w:hAnsi="黑体" w:eastAsia="仿宋_GB2312"/>
          <w:sz w:val="28"/>
          <w:szCs w:val="28"/>
        </w:rPr>
      </w:pPr>
      <w:r>
        <w:rPr>
          <w:rFonts w:ascii="仿宋_GB2312" w:hAnsi="黑体" w:eastAsia="仿宋_GB2312"/>
          <w:sz w:val="28"/>
          <w:szCs w:val="28"/>
        </w:rPr>
        <w:t>5</w:t>
      </w:r>
      <w:r>
        <w:rPr>
          <w:rFonts w:hint="eastAsia" w:ascii="仿宋_GB2312" w:hAnsi="黑体" w:eastAsia="仿宋_GB2312"/>
          <w:sz w:val="28"/>
          <w:szCs w:val="28"/>
        </w:rPr>
        <w:t>.</w:t>
      </w:r>
      <w:r>
        <w:rPr>
          <w:rFonts w:ascii="仿宋_GB2312" w:hAnsi="黑体" w:eastAsia="仿宋_GB2312"/>
          <w:sz w:val="28"/>
          <w:szCs w:val="28"/>
        </w:rPr>
        <w:t>如我方</w:t>
      </w:r>
      <w:r>
        <w:rPr>
          <w:rFonts w:hint="eastAsia" w:ascii="仿宋_GB2312" w:hAnsi="黑体" w:eastAsia="仿宋_GB2312"/>
          <w:sz w:val="28"/>
          <w:szCs w:val="28"/>
        </w:rPr>
        <w:t>成交</w:t>
      </w:r>
      <w:r>
        <w:rPr>
          <w:rFonts w:ascii="仿宋_GB2312" w:hAnsi="黑体" w:eastAsia="仿宋_GB2312"/>
          <w:sz w:val="28"/>
          <w:szCs w:val="28"/>
        </w:rPr>
        <w:t>，我方承诺：</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1）在收到成交通知书后，在成交通知书规定的期限内与你方签订合同；</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2）在签订合同时不向你方提出附加条件；</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3）按照采购文件要求提交履约保证金；</w:t>
      </w:r>
    </w:p>
    <w:p>
      <w:pPr>
        <w:spacing w:line="360" w:lineRule="auto"/>
        <w:ind w:firstLine="560" w:firstLineChars="200"/>
        <w:rPr>
          <w:rFonts w:hint="eastAsia"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4）在合同约定的期限内完成合同规定的全部义务。</w:t>
      </w:r>
    </w:p>
    <w:p>
      <w:pPr>
        <w:pStyle w:val="24"/>
        <w:ind w:firstLine="560" w:firstLineChars="200"/>
        <w:rPr>
          <w:rFonts w:hint="eastAsia" w:eastAsia="仿宋_GB2312"/>
        </w:rPr>
      </w:pPr>
      <w:r>
        <w:rPr>
          <w:rFonts w:ascii="仿宋_GB2312" w:hAnsi="黑体" w:eastAsia="仿宋_GB2312" w:cstheme="minorBidi"/>
          <w:color w:val="auto"/>
          <w:kern w:val="2"/>
          <w:sz w:val="28"/>
          <w:szCs w:val="28"/>
        </w:rPr>
        <w:t>（5）如放弃成交，我方依法</w:t>
      </w:r>
      <w:r>
        <w:rPr>
          <w:rFonts w:hint="eastAsia" w:ascii="仿宋_GB2312" w:hAnsi="黑体" w:eastAsia="仿宋_GB2312"/>
          <w:color w:val="auto"/>
          <w:sz w:val="28"/>
          <w:szCs w:val="28"/>
        </w:rPr>
        <w:t>承担相应的法律责任。</w:t>
      </w:r>
    </w:p>
    <w:p>
      <w:pPr>
        <w:spacing w:line="360" w:lineRule="auto"/>
        <w:ind w:firstLine="560" w:firstLineChars="200"/>
        <w:rPr>
          <w:rFonts w:hint="eastAsia" w:ascii="仿宋_GB2312" w:hAnsi="黑体" w:eastAsia="仿宋_GB2312"/>
          <w:sz w:val="28"/>
          <w:szCs w:val="28"/>
        </w:rPr>
      </w:pPr>
      <w:r>
        <w:rPr>
          <w:rFonts w:ascii="仿宋_GB2312" w:hAnsi="黑体" w:eastAsia="仿宋_GB2312"/>
          <w:sz w:val="28"/>
          <w:szCs w:val="28"/>
        </w:rPr>
        <w:t>6</w:t>
      </w:r>
      <w:r>
        <w:rPr>
          <w:rFonts w:hint="eastAsia" w:ascii="仿宋_GB2312" w:hAnsi="黑体" w:eastAsia="仿宋_GB2312"/>
          <w:sz w:val="28"/>
          <w:szCs w:val="28"/>
        </w:rPr>
        <w:t>.我方在此声明，所递交的响应文件及有关资料内容完整、真实和准确，且不存在采购公告（采购邀请书）中供应商不得存在的情形。</w:t>
      </w:r>
    </w:p>
    <w:p>
      <w:pPr>
        <w:spacing w:line="360" w:lineRule="auto"/>
        <w:ind w:firstLine="560" w:firstLineChars="200"/>
        <w:rPr>
          <w:rFonts w:hint="eastAsia" w:ascii="仿宋_GB2312" w:hAnsi="黑体" w:eastAsia="仿宋_GB2312"/>
          <w:sz w:val="28"/>
          <w:szCs w:val="28"/>
        </w:rPr>
      </w:pPr>
      <w:r>
        <w:rPr>
          <w:rFonts w:ascii="仿宋_GB2312" w:hAnsi="黑体" w:eastAsia="仿宋_GB2312"/>
          <w:sz w:val="28"/>
          <w:szCs w:val="28"/>
        </w:rPr>
        <w:t>7</w:t>
      </w:r>
      <w:r>
        <w:rPr>
          <w:rFonts w:hint="eastAsia" w:ascii="仿宋_GB2312" w:hAnsi="黑体" w:eastAsia="仿宋_GB2312"/>
          <w:sz w:val="28"/>
          <w:szCs w:val="28"/>
        </w:rPr>
        <w:t>.</w:t>
      </w:r>
      <w:r>
        <w:rPr>
          <w:rFonts w:hint="eastAsia" w:ascii="仿宋_GB2312" w:hAnsi="黑体" w:eastAsia="仿宋_GB2312"/>
          <w:sz w:val="28"/>
          <w:szCs w:val="28"/>
          <w:u w:val="single"/>
        </w:rPr>
        <w:t xml:space="preserve">       （其他补充说明）</w:t>
      </w:r>
      <w:r>
        <w:rPr>
          <w:rFonts w:hint="eastAsia" w:ascii="仿宋_GB2312" w:hAnsi="黑体" w:eastAsia="仿宋_GB2312"/>
          <w:sz w:val="28"/>
          <w:szCs w:val="28"/>
        </w:rPr>
        <w:t>。</w:t>
      </w:r>
    </w:p>
    <w:p>
      <w:pPr>
        <w:adjustRightInd w:val="0"/>
        <w:snapToGrid w:val="0"/>
        <w:spacing w:line="600" w:lineRule="exact"/>
        <w:ind w:left="1" w:firstLine="551" w:firstLineChars="197"/>
        <w:jc w:val="left"/>
        <w:rPr>
          <w:rFonts w:hint="eastAsia" w:ascii="仿宋_GB2312" w:eastAsia="仿宋_GB2312" w:hAnsiTheme="minorEastAsia"/>
          <w:sz w:val="28"/>
          <w:szCs w:val="28"/>
        </w:rPr>
      </w:pPr>
    </w:p>
    <w:p>
      <w:pPr>
        <w:adjustRightInd w:val="0"/>
        <w:snapToGrid w:val="0"/>
        <w:spacing w:line="600" w:lineRule="exact"/>
        <w:ind w:left="1" w:firstLine="551" w:firstLineChars="197"/>
        <w:jc w:val="left"/>
        <w:rPr>
          <w:rFonts w:hint="eastAsia" w:ascii="仿宋_GB2312" w:eastAsia="仿宋_GB2312" w:hAnsiTheme="minorEastAsia"/>
          <w:sz w:val="28"/>
          <w:szCs w:val="28"/>
        </w:rPr>
      </w:pPr>
    </w:p>
    <w:p>
      <w:pPr>
        <w:adjustRightInd w:val="0"/>
        <w:snapToGrid w:val="0"/>
        <w:spacing w:line="600" w:lineRule="exact"/>
        <w:ind w:left="1" w:firstLine="551" w:firstLineChars="197"/>
        <w:jc w:val="right"/>
        <w:rPr>
          <w:rFonts w:hint="eastAsia" w:ascii="仿宋_GB2312" w:eastAsia="仿宋_GB2312" w:hAnsiTheme="minorEastAsia"/>
          <w:sz w:val="28"/>
          <w:szCs w:val="28"/>
        </w:rPr>
      </w:pPr>
      <w:r>
        <w:rPr>
          <w:rFonts w:hint="eastAsia" w:ascii="仿宋_GB2312" w:eastAsia="仿宋_GB2312" w:hAnsiTheme="minorEastAsia"/>
          <w:sz w:val="28"/>
          <w:szCs w:val="28"/>
        </w:rPr>
        <w:t>供应商：</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（单位公章）</w:t>
      </w:r>
    </w:p>
    <w:p>
      <w:pPr>
        <w:adjustRightInd w:val="0"/>
        <w:snapToGrid w:val="0"/>
        <w:spacing w:line="600" w:lineRule="exact"/>
        <w:ind w:left="1" w:firstLine="551" w:firstLineChars="197"/>
        <w:jc w:val="right"/>
        <w:rPr>
          <w:rFonts w:hint="eastAsia" w:ascii="仿宋_GB2312" w:eastAsia="仿宋_GB2312" w:hAnsiTheme="minorEastAsia"/>
          <w:sz w:val="28"/>
          <w:szCs w:val="28"/>
        </w:rPr>
      </w:pPr>
      <w:r>
        <w:rPr>
          <w:rFonts w:hint="eastAsia" w:ascii="仿宋_GB2312" w:eastAsia="仿宋_GB2312" w:hAnsiTheme="minorEastAsia"/>
          <w:sz w:val="28"/>
          <w:szCs w:val="28"/>
        </w:rPr>
        <w:t>法定代表人或委托代理人：</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（签字或盖章）</w:t>
      </w:r>
    </w:p>
    <w:p>
      <w:pPr>
        <w:adjustRightInd w:val="0"/>
        <w:snapToGrid w:val="0"/>
        <w:spacing w:line="600" w:lineRule="exact"/>
        <w:ind w:left="1" w:firstLine="3771" w:firstLineChars="1347"/>
        <w:jc w:val="left"/>
        <w:rPr>
          <w:rFonts w:hint="eastAsia" w:ascii="仿宋_GB2312" w:eastAsia="仿宋_GB2312" w:hAnsiTheme="minorEastAsia"/>
          <w:sz w:val="28"/>
          <w:szCs w:val="28"/>
        </w:rPr>
      </w:pPr>
      <w:r>
        <w:rPr>
          <w:rFonts w:hint="eastAsia" w:ascii="仿宋_GB2312" w:eastAsia="仿宋_GB2312" w:hAnsiTheme="minorEastAsia"/>
          <w:sz w:val="28"/>
          <w:szCs w:val="28"/>
        </w:rPr>
        <w:t>地址：</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hint="eastAsia" w:ascii="仿宋_GB2312" w:eastAsia="仿宋_GB2312" w:hAnsiTheme="minorEastAsia"/>
          <w:sz w:val="28"/>
          <w:szCs w:val="28"/>
        </w:rPr>
      </w:pPr>
      <w:r>
        <w:rPr>
          <w:rFonts w:hint="eastAsia" w:ascii="仿宋_GB2312" w:eastAsia="仿宋_GB2312" w:hAnsiTheme="minorEastAsia"/>
          <w:sz w:val="28"/>
          <w:szCs w:val="28"/>
        </w:rPr>
        <w:t>电子邮箱：</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hint="eastAsia" w:ascii="仿宋_GB2312" w:eastAsia="仿宋_GB2312" w:hAnsiTheme="minorEastAsia"/>
          <w:sz w:val="28"/>
          <w:szCs w:val="28"/>
        </w:rPr>
      </w:pPr>
      <w:r>
        <w:rPr>
          <w:rFonts w:hint="eastAsia" w:ascii="仿宋_GB2312" w:eastAsia="仿宋_GB2312" w:hAnsiTheme="minorEastAsia"/>
          <w:sz w:val="28"/>
          <w:szCs w:val="28"/>
        </w:rPr>
        <w:t>电话：</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hint="eastAsia" w:ascii="仿宋_GB2312" w:eastAsia="仿宋_GB2312" w:hAnsiTheme="minorEastAsia"/>
          <w:sz w:val="28"/>
          <w:szCs w:val="28"/>
        </w:rPr>
      </w:pPr>
      <w:r>
        <w:rPr>
          <w:rFonts w:hint="eastAsia" w:ascii="仿宋_GB2312" w:eastAsia="仿宋_GB2312" w:hAnsiTheme="minorEastAsia"/>
          <w:sz w:val="28"/>
          <w:szCs w:val="28"/>
        </w:rPr>
        <w:t>传真：</w:t>
      </w:r>
      <w:r>
        <w:rPr>
          <w:rFonts w:hint="eastAsia" w:ascii="仿宋_GB2312" w:eastAsia="仿宋_GB2312" w:hAnsiTheme="minorEastAsia"/>
          <w:sz w:val="28"/>
          <w:szCs w:val="28"/>
          <w:u w:val="single"/>
        </w:rPr>
        <w:t xml:space="preserve">                              </w:t>
      </w:r>
    </w:p>
    <w:p>
      <w:pPr>
        <w:spacing w:line="600" w:lineRule="exact"/>
        <w:ind w:left="1" w:firstLine="551" w:firstLineChars="197"/>
        <w:jc w:val="right"/>
        <w:rPr>
          <w:rFonts w:hint="eastAsia" w:ascii="仿宋_GB2312" w:eastAsia="仿宋_GB2312" w:hAnsiTheme="minorEastAsia"/>
          <w:sz w:val="28"/>
          <w:szCs w:val="28"/>
        </w:rPr>
      </w:pP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年</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月</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日</w:t>
      </w:r>
    </w:p>
    <w:p>
      <w:pPr>
        <w:rPr>
          <w:rFonts w:hint="eastAsia" w:asciiTheme="minorEastAsia" w:hAnsiTheme="minorEastAsia"/>
          <w:sz w:val="28"/>
          <w:szCs w:val="28"/>
        </w:rPr>
      </w:pPr>
      <w:bookmarkStart w:id="108" w:name="_Toc29833"/>
      <w:bookmarkStart w:id="109" w:name="_Toc88209958"/>
      <w:bookmarkStart w:id="110" w:name="_Toc87616395"/>
      <w:bookmarkStart w:id="111" w:name="_Toc22527"/>
      <w:r>
        <w:rPr>
          <w:rFonts w:hint="eastAsia" w:asciiTheme="minorEastAsia" w:hAnsiTheme="minorEastAsia"/>
          <w:sz w:val="28"/>
          <w:szCs w:val="28"/>
        </w:rPr>
        <w:br w:type="page"/>
      </w:r>
    </w:p>
    <w:p>
      <w:pPr>
        <w:spacing w:line="360" w:lineRule="auto"/>
        <w:rPr>
          <w:rFonts w:hint="eastAsia" w:ascii="黑体" w:hAnsi="黑体" w:eastAsia="黑体" w:cs="黑体"/>
          <w:b/>
          <w:bCs/>
          <w:sz w:val="32"/>
          <w:szCs w:val="32"/>
        </w:rPr>
      </w:pPr>
      <w:r>
        <w:rPr>
          <w:rFonts w:hint="eastAsia" w:ascii="黑体" w:hAnsi="黑体" w:eastAsia="黑体" w:cs="黑体"/>
          <w:b/>
          <w:bCs/>
          <w:sz w:val="32"/>
          <w:szCs w:val="32"/>
        </w:rPr>
        <w:t>2.法定代表人证明或授权委托书</w:t>
      </w:r>
      <w:bookmarkEnd w:id="108"/>
      <w:bookmarkEnd w:id="109"/>
      <w:bookmarkEnd w:id="110"/>
      <w:bookmarkEnd w:id="111"/>
    </w:p>
    <w:p>
      <w:pPr>
        <w:spacing w:line="360" w:lineRule="auto"/>
      </w:pPr>
      <w:r>
        <w:rPr>
          <w:rFonts w:hint="eastAsia" w:ascii="仿宋_GB2312" w:hAnsi="黑体" w:eastAsia="仿宋_GB2312"/>
          <w:sz w:val="28"/>
          <w:szCs w:val="28"/>
        </w:rPr>
        <w:t>2.1法定代表人证明格式</w:t>
      </w:r>
    </w:p>
    <w:p>
      <w:pPr>
        <w:widowControl/>
        <w:adjustRightInd w:val="0"/>
        <w:snapToGrid w:val="0"/>
        <w:spacing w:before="156" w:beforeLines="50" w:after="156" w:afterLines="50" w:line="600" w:lineRule="exact"/>
        <w:jc w:val="center"/>
        <w:rPr>
          <w:rFonts w:ascii="方正小标宋简体" w:hAnsi="Times New Roman" w:eastAsia="方正小标宋简体" w:cs="Tahoma"/>
          <w:kern w:val="0"/>
          <w:sz w:val="44"/>
          <w:szCs w:val="44"/>
        </w:rPr>
      </w:pPr>
      <w:r>
        <w:rPr>
          <w:rFonts w:hint="eastAsia" w:ascii="方正小标宋简体" w:hAnsi="Times New Roman" w:eastAsia="方正小标宋简体" w:cs="Tahoma"/>
          <w:kern w:val="0"/>
          <w:sz w:val="44"/>
          <w:szCs w:val="44"/>
        </w:rPr>
        <w:t>法定代表人证明书</w:t>
      </w:r>
    </w:p>
    <w:p>
      <w:pPr>
        <w:pStyle w:val="42"/>
        <w:snapToGrid w:val="0"/>
        <w:spacing w:after="0" w:line="600" w:lineRule="exact"/>
        <w:ind w:firstLine="600" w:firstLineChars="200"/>
        <w:jc w:val="both"/>
        <w:rPr>
          <w:rFonts w:hint="eastAsia" w:ascii="仿宋_GB2312" w:hAnsi="宋体" w:eastAsia="仿宋_GB2312" w:cs="Times New Roman"/>
          <w:sz w:val="30"/>
          <w:szCs w:val="30"/>
          <w:u w:val="single"/>
        </w:rPr>
      </w:pPr>
      <w:r>
        <w:rPr>
          <w:rFonts w:hint="eastAsia" w:ascii="仿宋_GB2312" w:hAnsi="宋体" w:eastAsia="仿宋_GB2312" w:cs="Times New Roman"/>
          <w:sz w:val="30"/>
          <w:szCs w:val="30"/>
        </w:rPr>
        <w:t>供应商名称：</w:t>
      </w:r>
      <w:r>
        <w:rPr>
          <w:rFonts w:hint="eastAsia" w:ascii="仿宋_GB2312" w:hAnsi="宋体" w:eastAsia="仿宋_GB2312" w:cs="Times New Roman"/>
          <w:sz w:val="30"/>
          <w:szCs w:val="30"/>
          <w:u w:val="single"/>
        </w:rPr>
        <w:t xml:space="preserve">                          </w:t>
      </w:r>
    </w:p>
    <w:p>
      <w:pPr>
        <w:pStyle w:val="31"/>
        <w:snapToGrid w:val="0"/>
        <w:spacing w:line="600" w:lineRule="exact"/>
        <w:ind w:firstLine="600" w:firstLineChars="200"/>
        <w:rPr>
          <w:rFonts w:hint="eastAsia" w:ascii="仿宋_GB2312" w:hAnsi="宋体" w:eastAsia="仿宋_GB2312" w:cs="Times New Roman"/>
          <w:color w:val="auto"/>
          <w:sz w:val="30"/>
          <w:szCs w:val="30"/>
          <w:u w:val="single"/>
        </w:rPr>
      </w:pPr>
      <w:r>
        <w:rPr>
          <w:rFonts w:hint="eastAsia" w:ascii="仿宋_GB2312" w:hAnsi="宋体" w:eastAsia="仿宋_GB2312" w:cs="Times New Roman"/>
          <w:color w:val="auto"/>
          <w:sz w:val="30"/>
          <w:szCs w:val="30"/>
        </w:rPr>
        <w:t>单位性质：</w:t>
      </w:r>
      <w:r>
        <w:rPr>
          <w:rFonts w:hint="eastAsia" w:ascii="仿宋_GB2312" w:hAnsi="宋体" w:eastAsia="仿宋_GB2312" w:cs="Times New Roman"/>
          <w:color w:val="auto"/>
          <w:sz w:val="30"/>
          <w:szCs w:val="30"/>
          <w:u w:val="single"/>
        </w:rPr>
        <w:t xml:space="preserve">                            </w:t>
      </w:r>
    </w:p>
    <w:p>
      <w:pPr>
        <w:pStyle w:val="41"/>
        <w:snapToGrid w:val="0"/>
        <w:spacing w:after="0" w:line="600" w:lineRule="exact"/>
        <w:ind w:firstLine="600" w:firstLineChars="200"/>
        <w:rPr>
          <w:rFonts w:hint="eastAsia" w:ascii="仿宋_GB2312" w:hAnsi="宋体" w:eastAsia="仿宋_GB2312" w:cs="Times New Roman"/>
          <w:sz w:val="30"/>
          <w:szCs w:val="30"/>
          <w:u w:val="single"/>
        </w:rPr>
      </w:pPr>
      <w:r>
        <w:rPr>
          <w:rFonts w:hint="eastAsia" w:ascii="仿宋_GB2312" w:hAnsi="宋体" w:eastAsia="仿宋_GB2312" w:cs="Times New Roman"/>
          <w:sz w:val="30"/>
          <w:szCs w:val="30"/>
        </w:rPr>
        <w:t>地    址：</w:t>
      </w:r>
      <w:r>
        <w:rPr>
          <w:rFonts w:hint="eastAsia" w:ascii="仿宋_GB2312" w:hAnsi="宋体" w:eastAsia="仿宋_GB2312" w:cs="Times New Roman"/>
          <w:sz w:val="30"/>
          <w:szCs w:val="30"/>
          <w:u w:val="single"/>
        </w:rPr>
        <w:t xml:space="preserve">                            </w:t>
      </w:r>
    </w:p>
    <w:p>
      <w:pPr>
        <w:pStyle w:val="31"/>
        <w:snapToGrid w:val="0"/>
        <w:spacing w:line="600" w:lineRule="exact"/>
        <w:ind w:firstLine="600" w:firstLineChars="200"/>
        <w:rPr>
          <w:rFonts w:hint="eastAsia" w:ascii="仿宋_GB2312" w:hAnsi="宋体" w:eastAsia="仿宋_GB2312" w:cs="Times New Roman"/>
          <w:color w:val="auto"/>
          <w:sz w:val="30"/>
          <w:szCs w:val="30"/>
        </w:rPr>
      </w:pPr>
      <w:r>
        <w:rPr>
          <w:rFonts w:hint="eastAsia" w:ascii="仿宋_GB2312" w:hAnsi="宋体" w:eastAsia="仿宋_GB2312" w:cs="Times New Roman"/>
          <w:color w:val="auto"/>
          <w:sz w:val="30"/>
          <w:szCs w:val="30"/>
        </w:rPr>
        <w:t>成立时间：</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年</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月</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日</w:t>
      </w:r>
    </w:p>
    <w:p>
      <w:pPr>
        <w:pStyle w:val="31"/>
        <w:snapToGrid w:val="0"/>
        <w:spacing w:line="600" w:lineRule="exact"/>
        <w:ind w:firstLine="600" w:firstLineChars="200"/>
        <w:rPr>
          <w:rFonts w:hint="eastAsia" w:ascii="仿宋_GB2312" w:hAnsi="宋体" w:eastAsia="仿宋_GB2312" w:cs="Times New Roman"/>
          <w:color w:val="auto"/>
          <w:sz w:val="30"/>
          <w:szCs w:val="30"/>
        </w:rPr>
      </w:pPr>
      <w:r>
        <w:rPr>
          <w:rFonts w:hint="eastAsia" w:ascii="仿宋_GB2312" w:hAnsi="宋体" w:eastAsia="仿宋_GB2312" w:cs="Times New Roman"/>
          <w:color w:val="auto"/>
          <w:sz w:val="30"/>
          <w:szCs w:val="30"/>
        </w:rPr>
        <w:t>经营期限：</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 xml:space="preserve">   </w:t>
      </w:r>
    </w:p>
    <w:p>
      <w:pPr>
        <w:pStyle w:val="31"/>
        <w:snapToGrid w:val="0"/>
        <w:spacing w:line="600" w:lineRule="exact"/>
        <w:ind w:firstLine="600" w:firstLineChars="200"/>
        <w:rPr>
          <w:rFonts w:hint="eastAsia" w:ascii="仿宋_GB2312" w:hAnsi="宋体" w:eastAsia="仿宋_GB2312" w:cs="Times New Roman"/>
          <w:color w:val="auto"/>
          <w:sz w:val="30"/>
          <w:szCs w:val="30"/>
        </w:rPr>
      </w:pPr>
      <w:r>
        <w:rPr>
          <w:rFonts w:hint="eastAsia" w:ascii="仿宋_GB2312" w:hAnsi="宋体" w:eastAsia="仿宋_GB2312" w:cs="Times New Roman"/>
          <w:color w:val="auto"/>
          <w:sz w:val="30"/>
          <w:szCs w:val="30"/>
        </w:rPr>
        <w:t>姓名：</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 xml:space="preserve"> 性别：</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 xml:space="preserve"> 年龄：</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 xml:space="preserve"> 身份证号码：</w:t>
      </w:r>
      <w:r>
        <w:rPr>
          <w:rFonts w:hint="eastAsia" w:ascii="仿宋_GB2312" w:hAnsi="宋体" w:eastAsia="仿宋_GB2312" w:cs="Times New Roman"/>
          <w:color w:val="auto"/>
          <w:sz w:val="30"/>
          <w:szCs w:val="30"/>
          <w:u w:val="single"/>
        </w:rPr>
        <w:t xml:space="preserve">          </w:t>
      </w:r>
    </w:p>
    <w:p>
      <w:pPr>
        <w:pStyle w:val="31"/>
        <w:snapToGrid w:val="0"/>
        <w:spacing w:line="600" w:lineRule="exact"/>
        <w:ind w:firstLine="600" w:firstLineChars="200"/>
        <w:rPr>
          <w:rFonts w:hint="eastAsia" w:ascii="仿宋_GB2312" w:hAnsi="宋体" w:eastAsia="仿宋_GB2312" w:cs="Times New Roman"/>
          <w:color w:val="auto"/>
          <w:sz w:val="30"/>
          <w:szCs w:val="30"/>
        </w:rPr>
      </w:pPr>
      <w:r>
        <w:rPr>
          <w:rFonts w:hint="eastAsia" w:ascii="仿宋_GB2312" w:hAnsi="宋体" w:eastAsia="仿宋_GB2312" w:cs="Times New Roman"/>
          <w:color w:val="auto"/>
          <w:sz w:val="30"/>
          <w:szCs w:val="30"/>
        </w:rPr>
        <w:t>职务：</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系</w:t>
      </w:r>
      <w:r>
        <w:rPr>
          <w:rFonts w:hint="eastAsia" w:ascii="仿宋_GB2312" w:hAnsi="宋体" w:eastAsia="仿宋_GB2312" w:cs="Times New Roman"/>
          <w:color w:val="auto"/>
          <w:sz w:val="30"/>
          <w:szCs w:val="30"/>
          <w:u w:val="single"/>
        </w:rPr>
        <w:t xml:space="preserve">     (供应商名称)       </w:t>
      </w:r>
      <w:r>
        <w:rPr>
          <w:rFonts w:hint="eastAsia" w:ascii="仿宋_GB2312" w:hAnsi="宋体" w:eastAsia="仿宋_GB2312" w:cs="Times New Roman"/>
          <w:color w:val="auto"/>
          <w:sz w:val="30"/>
          <w:szCs w:val="30"/>
        </w:rPr>
        <w:t xml:space="preserve"> 的法定代表人。</w:t>
      </w:r>
    </w:p>
    <w:p>
      <w:pPr>
        <w:pStyle w:val="31"/>
        <w:snapToGrid w:val="0"/>
        <w:spacing w:line="600" w:lineRule="exact"/>
        <w:ind w:firstLine="600" w:firstLineChars="200"/>
        <w:rPr>
          <w:rFonts w:hint="eastAsia" w:ascii="仿宋_GB2312" w:hAnsi="宋体" w:eastAsia="仿宋_GB2312" w:cs="Times New Roman"/>
          <w:color w:val="auto"/>
          <w:sz w:val="30"/>
          <w:szCs w:val="30"/>
        </w:rPr>
      </w:pPr>
      <w:r>
        <w:rPr>
          <w:rFonts w:hint="eastAsia" w:ascii="仿宋_GB2312" w:hAnsi="宋体" w:eastAsia="仿宋_GB2312" w:cs="Times New Roman"/>
          <w:color w:val="auto"/>
          <w:sz w:val="30"/>
          <w:szCs w:val="30"/>
        </w:rPr>
        <w:t>特此证明。</w:t>
      </w:r>
    </w:p>
    <w:p>
      <w:pPr>
        <w:adjustRightInd w:val="0"/>
        <w:snapToGrid w:val="0"/>
        <w:spacing w:line="60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附：法定代表人身份证(正反两面)复印件</w:t>
      </w:r>
    </w:p>
    <w:p>
      <w:pPr>
        <w:pStyle w:val="31"/>
        <w:snapToGrid w:val="0"/>
        <w:spacing w:line="600" w:lineRule="exact"/>
        <w:ind w:firstLine="3907" w:firstLineChars="1221"/>
        <w:rPr>
          <w:rFonts w:hint="eastAsia" w:ascii="仿宋_GB2312" w:hAnsi="宋体" w:eastAsia="仿宋_GB2312" w:cs="Times New Roman"/>
          <w:color w:val="auto"/>
          <w:sz w:val="32"/>
          <w:szCs w:val="32"/>
        </w:rPr>
      </w:pPr>
    </w:p>
    <w:p>
      <w:pPr>
        <w:pStyle w:val="31"/>
        <w:snapToGrid w:val="0"/>
        <w:spacing w:line="600" w:lineRule="exact"/>
        <w:ind w:firstLine="3663" w:firstLineChars="1221"/>
        <w:rPr>
          <w:rFonts w:hint="eastAsia" w:ascii="仿宋_GB2312" w:hAnsi="宋体" w:eastAsia="仿宋_GB2312" w:cs="Times New Roman"/>
          <w:color w:val="auto"/>
          <w:sz w:val="30"/>
          <w:szCs w:val="30"/>
        </w:rPr>
      </w:pPr>
      <w:r>
        <w:rPr>
          <w:rFonts w:hint="eastAsia" w:ascii="仿宋_GB2312" w:hAnsi="宋体" w:eastAsia="仿宋_GB2312" w:cs="Times New Roman"/>
          <w:color w:val="auto"/>
          <w:sz w:val="30"/>
          <w:szCs w:val="30"/>
        </w:rPr>
        <w:t>供应商：</w:t>
      </w:r>
      <w:r>
        <w:rPr>
          <w:rFonts w:hint="eastAsia" w:ascii="仿宋_GB2312" w:hAnsi="宋体" w:eastAsia="仿宋_GB2312" w:cs="Times New Roman"/>
          <w:color w:val="auto"/>
          <w:sz w:val="30"/>
          <w:szCs w:val="30"/>
          <w:u w:val="single"/>
        </w:rPr>
        <w:t xml:space="preserve">       (盖单位章)      </w:t>
      </w:r>
    </w:p>
    <w:p>
      <w:pPr>
        <w:widowControl/>
        <w:adjustRightInd w:val="0"/>
        <w:snapToGrid w:val="0"/>
        <w:spacing w:line="600" w:lineRule="exact"/>
        <w:jc w:val="right"/>
        <w:rPr>
          <w:rFonts w:hint="eastAsia" w:ascii="仿宋_GB2312" w:hAnsi="宋体" w:eastAsia="仿宋_GB2312"/>
          <w:sz w:val="30"/>
          <w:szCs w:val="30"/>
        </w:rPr>
      </w:pPr>
      <w:r>
        <w:rPr>
          <w:rFonts w:hint="eastAsia" w:ascii="仿宋_GB2312" w:hAnsi="宋体" w:eastAsia="仿宋_GB2312"/>
          <w:sz w:val="30"/>
          <w:szCs w:val="30"/>
        </w:rPr>
        <w:t>日  期：</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日</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0"/>
        <w:gridCol w:w="4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30" w:type="dxa"/>
            <w:vAlign w:val="center"/>
          </w:tcPr>
          <w:p>
            <w:pPr>
              <w:pStyle w:val="24"/>
              <w:spacing w:line="240" w:lineRule="auto"/>
              <w:ind w:firstLine="0"/>
              <w:jc w:val="center"/>
              <w:rPr>
                <w:rFonts w:hint="eastAsia" w:ascii="仿宋_GB2312" w:hAnsi="仿宋_GB2312" w:eastAsia="仿宋_GB2312" w:cs="仿宋_GB2312"/>
                <w:color w:val="auto"/>
              </w:rPr>
            </w:pPr>
            <w:r>
              <w:rPr>
                <w:rFonts w:hint="eastAsia" w:ascii="仿宋_GB2312" w:hAnsi="仿宋_GB2312" w:eastAsia="仿宋_GB2312" w:cs="仿宋_GB2312"/>
              </w:rPr>
              <w:t>身份证复印件（人像面）</w:t>
            </w:r>
          </w:p>
        </w:tc>
        <w:tc>
          <w:tcPr>
            <w:tcW w:w="4530" w:type="dxa"/>
            <w:vAlign w:val="center"/>
          </w:tcPr>
          <w:p>
            <w:pPr>
              <w:pStyle w:val="24"/>
              <w:spacing w:line="240" w:lineRule="auto"/>
              <w:ind w:firstLine="0"/>
              <w:jc w:val="center"/>
              <w:rPr>
                <w:rFonts w:hint="eastAsia" w:ascii="仿宋_GB2312" w:hAnsi="仿宋_GB2312" w:eastAsia="仿宋_GB2312" w:cs="仿宋_GB2312"/>
                <w:color w:val="auto"/>
              </w:rPr>
            </w:pPr>
            <w:r>
              <w:rPr>
                <w:rFonts w:hint="eastAsia" w:ascii="仿宋_GB2312" w:hAnsi="仿宋_GB2312" w:eastAsia="仿宋_GB2312" w:cs="仿宋_GB2312"/>
              </w:rPr>
              <w:t>身份证复印件（国徽面）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4" w:hRule="atLeast"/>
        </w:trPr>
        <w:tc>
          <w:tcPr>
            <w:tcW w:w="4530" w:type="dxa"/>
          </w:tcPr>
          <w:p>
            <w:pPr>
              <w:pStyle w:val="24"/>
              <w:spacing w:line="240" w:lineRule="auto"/>
              <w:ind w:firstLine="0"/>
              <w:jc w:val="center"/>
              <w:rPr>
                <w:rFonts w:hint="eastAsia" w:ascii="仿宋_GB2312" w:hAnsi="仿宋_GB2312" w:eastAsia="仿宋_GB2312" w:cs="仿宋_GB2312"/>
                <w:sz w:val="28"/>
                <w:szCs w:val="28"/>
              </w:rPr>
            </w:pPr>
          </w:p>
        </w:tc>
        <w:tc>
          <w:tcPr>
            <w:tcW w:w="4530" w:type="dxa"/>
          </w:tcPr>
          <w:p>
            <w:pPr>
              <w:pStyle w:val="24"/>
              <w:spacing w:line="240" w:lineRule="auto"/>
              <w:ind w:firstLine="0"/>
              <w:jc w:val="center"/>
              <w:rPr>
                <w:rFonts w:hint="eastAsia" w:ascii="仿宋_GB2312" w:hAnsi="仿宋_GB2312" w:eastAsia="仿宋_GB2312" w:cs="仿宋_GB2312"/>
                <w:sz w:val="28"/>
                <w:szCs w:val="28"/>
              </w:rPr>
            </w:pPr>
          </w:p>
        </w:tc>
      </w:tr>
    </w:tbl>
    <w:p>
      <w:pPr>
        <w:adjustRightInd w:val="0"/>
        <w:snapToGrid w:val="0"/>
        <w:spacing w:line="600" w:lineRule="exact"/>
        <w:ind w:firstLine="480"/>
        <w:rPr>
          <w:rFonts w:ascii="仿宋_GB2312" w:eastAsia="仿宋_GB2312"/>
        </w:rPr>
      </w:pPr>
      <w:r>
        <w:rPr>
          <w:rFonts w:hint="eastAsia" w:ascii="仿宋_GB2312" w:hAnsi="宋体" w:eastAsia="仿宋_GB2312"/>
          <w:kern w:val="0"/>
          <w:szCs w:val="21"/>
        </w:rPr>
        <w:t>注：法定代表人证明书亦可采用工商行政管理局统一制订的格式。</w:t>
      </w:r>
    </w:p>
    <w:p>
      <w:pPr>
        <w:spacing w:line="360" w:lineRule="auto"/>
      </w:pPr>
      <w:r>
        <w:rPr>
          <w:rFonts w:hint="eastAsia" w:ascii="宋体" w:hAnsi="宋体" w:cs="宋体"/>
          <w:kern w:val="0"/>
          <w:sz w:val="28"/>
          <w:szCs w:val="28"/>
        </w:rPr>
        <w:br w:type="page"/>
      </w:r>
      <w:r>
        <w:rPr>
          <w:rFonts w:hint="eastAsia" w:ascii="仿宋_GB2312" w:hAnsi="黑体" w:eastAsia="仿宋_GB2312"/>
          <w:sz w:val="28"/>
          <w:szCs w:val="28"/>
        </w:rPr>
        <w:t>2.2法人授权委托书</w:t>
      </w:r>
    </w:p>
    <w:p>
      <w:pPr>
        <w:adjustRightInd w:val="0"/>
        <w:snapToGrid w:val="0"/>
        <w:spacing w:before="156" w:beforeLines="50" w:after="156" w:afterLines="50" w:line="600" w:lineRule="exact"/>
        <w:jc w:val="center"/>
        <w:rPr>
          <w:rFonts w:ascii="方正小标宋简体" w:hAnsi="Times New Roman" w:eastAsia="方正小标宋简体" w:cs="Tahoma"/>
          <w:kern w:val="0"/>
          <w:sz w:val="44"/>
          <w:szCs w:val="44"/>
        </w:rPr>
      </w:pPr>
      <w:r>
        <w:rPr>
          <w:rFonts w:hint="eastAsia" w:ascii="方正小标宋简体" w:hAnsi="Times New Roman" w:eastAsia="方正小标宋简体" w:cs="Tahoma"/>
          <w:kern w:val="0"/>
          <w:sz w:val="44"/>
          <w:szCs w:val="44"/>
        </w:rPr>
        <w:t>法定代表人授权委托书</w:t>
      </w:r>
    </w:p>
    <w:p>
      <w:pPr>
        <w:adjustRightInd w:val="0"/>
        <w:snapToGrid w:val="0"/>
        <w:spacing w:line="60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本人</w:t>
      </w:r>
      <w:r>
        <w:rPr>
          <w:rFonts w:hint="eastAsia" w:ascii="仿宋_GB2312" w:hAnsi="宋体" w:eastAsia="仿宋_GB2312"/>
          <w:sz w:val="30"/>
          <w:szCs w:val="30"/>
          <w:u w:val="single"/>
        </w:rPr>
        <w:t xml:space="preserve">   (姓名)    </w:t>
      </w:r>
      <w:r>
        <w:rPr>
          <w:rFonts w:hint="eastAsia" w:ascii="仿宋_GB2312" w:hAnsi="宋体" w:eastAsia="仿宋_GB2312"/>
          <w:sz w:val="30"/>
          <w:szCs w:val="30"/>
        </w:rPr>
        <w:t>系</w:t>
      </w:r>
      <w:r>
        <w:rPr>
          <w:rFonts w:hint="eastAsia" w:ascii="仿宋_GB2312" w:hAnsi="宋体" w:eastAsia="仿宋_GB2312"/>
          <w:sz w:val="30"/>
          <w:szCs w:val="30"/>
          <w:u w:val="single"/>
        </w:rPr>
        <w:t xml:space="preserve">        (供应商名称)          </w:t>
      </w:r>
      <w:r>
        <w:rPr>
          <w:rFonts w:hint="eastAsia" w:ascii="仿宋_GB2312" w:hAnsi="宋体" w:eastAsia="仿宋_GB2312"/>
          <w:sz w:val="30"/>
          <w:szCs w:val="30"/>
        </w:rPr>
        <w:t>的法定代表人，现授权</w:t>
      </w:r>
      <w:r>
        <w:rPr>
          <w:rFonts w:hint="eastAsia" w:ascii="仿宋_GB2312" w:hAnsi="宋体" w:eastAsia="仿宋_GB2312"/>
          <w:sz w:val="30"/>
          <w:szCs w:val="30"/>
          <w:u w:val="single"/>
        </w:rPr>
        <w:t xml:space="preserve">   (姓名)   </w:t>
      </w:r>
      <w:r>
        <w:rPr>
          <w:rFonts w:hint="eastAsia" w:ascii="仿宋_GB2312" w:hAnsi="宋体" w:eastAsia="仿宋_GB2312"/>
          <w:sz w:val="30"/>
          <w:szCs w:val="30"/>
        </w:rPr>
        <w:t>为我方代理人。代理人根据授权，以我方名义签署、澄清、说明、提交、撤回、修改</w:t>
      </w:r>
      <w:r>
        <w:rPr>
          <w:rFonts w:hint="eastAsia" w:ascii="仿宋_GB2312" w:hAnsi="宋体" w:eastAsia="仿宋_GB2312"/>
          <w:sz w:val="30"/>
          <w:szCs w:val="30"/>
          <w:u w:val="single"/>
        </w:rPr>
        <w:t xml:space="preserve"> （项目名称、项目编号、标段/标包号）  </w:t>
      </w:r>
      <w:r>
        <w:rPr>
          <w:rFonts w:hint="eastAsia" w:ascii="仿宋_GB2312" w:hAnsi="宋体" w:eastAsia="仿宋_GB2312"/>
          <w:sz w:val="30"/>
          <w:szCs w:val="30"/>
        </w:rPr>
        <w:t>的响应文件、签订合同和处理有关事宜，其法律后果由我方承担。</w:t>
      </w:r>
    </w:p>
    <w:p>
      <w:pPr>
        <w:adjustRightInd w:val="0"/>
        <w:snapToGrid w:val="0"/>
        <w:spacing w:line="60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委托期限：</w:t>
      </w:r>
      <w:r>
        <w:rPr>
          <w:rFonts w:hint="eastAsia" w:ascii="仿宋_GB2312" w:hAnsi="宋体" w:eastAsia="仿宋_GB2312"/>
          <w:sz w:val="30"/>
          <w:szCs w:val="30"/>
          <w:u w:val="single"/>
        </w:rPr>
        <w:t xml:space="preserve">                </w:t>
      </w:r>
      <w:r>
        <w:rPr>
          <w:rFonts w:hint="eastAsia" w:ascii="仿宋_GB2312" w:hAnsi="宋体" w:eastAsia="仿宋_GB2312"/>
          <w:sz w:val="30"/>
          <w:szCs w:val="30"/>
        </w:rPr>
        <w:t>。</w:t>
      </w:r>
    </w:p>
    <w:p>
      <w:pPr>
        <w:adjustRightInd w:val="0"/>
        <w:snapToGrid w:val="0"/>
        <w:spacing w:line="60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代理人无转委托权。</w:t>
      </w:r>
    </w:p>
    <w:p>
      <w:pPr>
        <w:pStyle w:val="40"/>
        <w:adjustRightInd w:val="0"/>
        <w:snapToGrid w:val="0"/>
        <w:spacing w:line="60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附：1.委托代理人身份证(正反两面)复印件，提供授权委托代理人身份证原件备查。</w:t>
      </w:r>
    </w:p>
    <w:p>
      <w:pPr>
        <w:pStyle w:val="40"/>
        <w:numPr>
          <w:ilvl w:val="255"/>
          <w:numId w:val="0"/>
        </w:numPr>
        <w:adjustRightInd w:val="0"/>
        <w:snapToGrid w:val="0"/>
        <w:spacing w:line="60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2.提供授权委托人在本单位近三个月社保记录（以加盖社会保险基金管理中心印章的《缴费历史明细表》或《社会保险参保人员证明》为准），否则为无效代理人，响应文件无效。</w:t>
      </w:r>
    </w:p>
    <w:p>
      <w:pPr>
        <w:pStyle w:val="40"/>
        <w:numPr>
          <w:ilvl w:val="255"/>
          <w:numId w:val="0"/>
        </w:numPr>
        <w:adjustRightInd w:val="0"/>
        <w:snapToGrid w:val="0"/>
        <w:spacing w:line="600" w:lineRule="exact"/>
        <w:rPr>
          <w:rFonts w:hint="eastAsia" w:ascii="仿宋_GB2312" w:hAnsi="宋体" w:eastAsia="仿宋_GB2312"/>
          <w:sz w:val="30"/>
          <w:szCs w:val="30"/>
        </w:rPr>
      </w:pPr>
    </w:p>
    <w:p>
      <w:pPr>
        <w:pStyle w:val="31"/>
        <w:snapToGrid w:val="0"/>
        <w:spacing w:line="600" w:lineRule="exact"/>
        <w:ind w:firstLine="3618" w:firstLineChars="1005"/>
        <w:rPr>
          <w:rFonts w:hint="eastAsia" w:ascii="仿宋_GB2312" w:hAnsi="宋体" w:eastAsia="仿宋_GB2312" w:cs="Times New Roman"/>
          <w:color w:val="auto"/>
          <w:sz w:val="30"/>
          <w:szCs w:val="30"/>
        </w:rPr>
      </w:pPr>
      <w:r>
        <w:rPr>
          <w:rFonts w:hint="eastAsia" w:ascii="仿宋_GB2312" w:hAnsi="宋体" w:eastAsia="仿宋_GB2312" w:cs="Times New Roman"/>
          <w:color w:val="auto"/>
          <w:spacing w:val="30"/>
          <w:sz w:val="30"/>
          <w:szCs w:val="30"/>
        </w:rPr>
        <w:t>供应商</w:t>
      </w:r>
      <w:r>
        <w:rPr>
          <w:rFonts w:hint="eastAsia" w:ascii="仿宋_GB2312" w:hAnsi="宋体" w:eastAsia="仿宋_GB2312" w:cs="Times New Roman"/>
          <w:color w:val="auto"/>
          <w:sz w:val="30"/>
          <w:szCs w:val="30"/>
        </w:rPr>
        <w:t>：</w:t>
      </w:r>
      <w:r>
        <w:rPr>
          <w:rFonts w:hint="eastAsia" w:ascii="仿宋_GB2312" w:hAnsi="宋体" w:eastAsia="仿宋_GB2312" w:cs="Times New Roman"/>
          <w:color w:val="auto"/>
          <w:sz w:val="30"/>
          <w:szCs w:val="30"/>
          <w:u w:val="single"/>
        </w:rPr>
        <w:t xml:space="preserve">      (单位公章)         </w:t>
      </w:r>
    </w:p>
    <w:p>
      <w:pPr>
        <w:pStyle w:val="31"/>
        <w:snapToGrid w:val="0"/>
        <w:spacing w:line="600" w:lineRule="exact"/>
        <w:ind w:firstLine="3600" w:firstLineChars="1200"/>
        <w:rPr>
          <w:rFonts w:hint="eastAsia" w:ascii="仿宋_GB2312" w:hAnsi="宋体" w:eastAsia="仿宋_GB2312" w:cs="Times New Roman"/>
          <w:color w:val="auto"/>
          <w:sz w:val="30"/>
          <w:szCs w:val="30"/>
        </w:rPr>
      </w:pPr>
      <w:r>
        <w:rPr>
          <w:rFonts w:hint="eastAsia" w:ascii="仿宋_GB2312" w:hAnsi="宋体" w:eastAsia="仿宋_GB2312" w:cs="Times New Roman"/>
          <w:color w:val="auto"/>
          <w:sz w:val="30"/>
          <w:szCs w:val="30"/>
        </w:rPr>
        <w:t>法定代表人：</w:t>
      </w:r>
      <w:r>
        <w:rPr>
          <w:rFonts w:hint="eastAsia" w:ascii="仿宋_GB2312" w:hAnsi="宋体" w:eastAsia="仿宋_GB2312" w:cs="Times New Roman"/>
          <w:color w:val="auto"/>
          <w:sz w:val="30"/>
          <w:szCs w:val="30"/>
          <w:u w:val="single"/>
        </w:rPr>
        <w:t xml:space="preserve">       (签字)          </w:t>
      </w:r>
    </w:p>
    <w:p>
      <w:pPr>
        <w:pStyle w:val="31"/>
        <w:snapToGrid w:val="0"/>
        <w:spacing w:line="600" w:lineRule="exact"/>
        <w:ind w:firstLine="3600" w:firstLineChars="1200"/>
        <w:rPr>
          <w:rFonts w:hint="eastAsia" w:ascii="仿宋_GB2312" w:hAnsi="宋体" w:eastAsia="仿宋_GB2312" w:cs="Times New Roman"/>
          <w:color w:val="auto"/>
          <w:sz w:val="30"/>
          <w:szCs w:val="30"/>
        </w:rPr>
      </w:pPr>
      <w:r>
        <w:rPr>
          <w:rFonts w:hint="eastAsia" w:ascii="仿宋_GB2312" w:hAnsi="宋体" w:eastAsia="仿宋_GB2312" w:cs="Times New Roman"/>
          <w:color w:val="auto"/>
          <w:sz w:val="30"/>
          <w:szCs w:val="30"/>
        </w:rPr>
        <w:t>委托代理人：</w:t>
      </w:r>
      <w:r>
        <w:rPr>
          <w:rFonts w:hint="eastAsia" w:ascii="仿宋_GB2312" w:hAnsi="宋体" w:eastAsia="仿宋_GB2312" w:cs="Times New Roman"/>
          <w:color w:val="auto"/>
          <w:sz w:val="30"/>
          <w:szCs w:val="30"/>
          <w:u w:val="single"/>
        </w:rPr>
        <w:t xml:space="preserve">       (签字)          </w:t>
      </w:r>
    </w:p>
    <w:p>
      <w:pPr>
        <w:widowControl/>
        <w:adjustRightInd w:val="0"/>
        <w:snapToGrid w:val="0"/>
        <w:spacing w:line="600" w:lineRule="exact"/>
        <w:jc w:val="right"/>
        <w:rPr>
          <w:rFonts w:hint="eastAsia" w:ascii="仿宋_GB2312" w:hAnsi="宋体" w:eastAsia="仿宋_GB2312"/>
          <w:sz w:val="30"/>
          <w:szCs w:val="30"/>
        </w:rPr>
      </w:pPr>
      <w:r>
        <w:rPr>
          <w:rFonts w:hint="eastAsia" w:ascii="仿宋_GB2312" w:hAnsi="宋体" w:eastAsia="仿宋_GB2312"/>
          <w:sz w:val="30"/>
          <w:szCs w:val="30"/>
        </w:rPr>
        <w:t>日    期：</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日</w:t>
      </w:r>
    </w:p>
    <w:p>
      <w:pPr>
        <w:pStyle w:val="24"/>
        <w:ind w:firstLine="0"/>
        <w:rPr>
          <w:rFonts w:hint="eastAsia" w:ascii="仿宋_GB2312" w:eastAsia="仿宋_GB2312"/>
          <w:color w:val="auto"/>
          <w:sz w:val="30"/>
          <w:szCs w:val="30"/>
        </w:rPr>
      </w:pPr>
    </w:p>
    <w:p>
      <w:pPr>
        <w:pStyle w:val="24"/>
        <w:ind w:firstLine="0"/>
        <w:rPr>
          <w:rFonts w:hint="eastAsia" w:ascii="仿宋_GB2312" w:eastAsia="仿宋_GB2312"/>
          <w:color w:val="auto"/>
          <w:sz w:val="30"/>
          <w:szCs w:val="30"/>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30"/>
        <w:gridCol w:w="4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530" w:type="dxa"/>
            <w:vAlign w:val="center"/>
          </w:tcPr>
          <w:p>
            <w:pPr>
              <w:pStyle w:val="24"/>
              <w:spacing w:line="240" w:lineRule="auto"/>
              <w:ind w:firstLine="0"/>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sz w:val="28"/>
                <w:szCs w:val="28"/>
              </w:rPr>
              <w:t>身份证复印件（人像面）</w:t>
            </w:r>
          </w:p>
        </w:tc>
        <w:tc>
          <w:tcPr>
            <w:tcW w:w="4530" w:type="dxa"/>
            <w:vAlign w:val="center"/>
          </w:tcPr>
          <w:p>
            <w:pPr>
              <w:pStyle w:val="24"/>
              <w:spacing w:line="240" w:lineRule="auto"/>
              <w:ind w:firstLine="0"/>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sz w:val="28"/>
                <w:szCs w:val="28"/>
              </w:rPr>
              <w:t>身份证复印件（国徽面）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4530" w:type="dxa"/>
          </w:tcPr>
          <w:p>
            <w:pPr>
              <w:pStyle w:val="24"/>
              <w:spacing w:line="240" w:lineRule="auto"/>
              <w:ind w:firstLine="0"/>
              <w:jc w:val="center"/>
              <w:rPr>
                <w:rFonts w:hint="eastAsia" w:ascii="仿宋_GB2312" w:hAnsi="仿宋_GB2312" w:eastAsia="仿宋_GB2312" w:cs="仿宋_GB2312"/>
                <w:sz w:val="28"/>
                <w:szCs w:val="28"/>
              </w:rPr>
            </w:pPr>
          </w:p>
        </w:tc>
        <w:tc>
          <w:tcPr>
            <w:tcW w:w="4530" w:type="dxa"/>
          </w:tcPr>
          <w:p>
            <w:pPr>
              <w:pStyle w:val="24"/>
              <w:spacing w:line="240" w:lineRule="auto"/>
              <w:ind w:firstLine="0"/>
              <w:jc w:val="center"/>
              <w:rPr>
                <w:rFonts w:hint="eastAsia" w:ascii="仿宋_GB2312" w:hAnsi="仿宋_GB2312" w:eastAsia="仿宋_GB2312" w:cs="仿宋_GB2312"/>
                <w:sz w:val="28"/>
                <w:szCs w:val="28"/>
              </w:rPr>
            </w:pPr>
          </w:p>
        </w:tc>
      </w:tr>
    </w:tbl>
    <w:p>
      <w:pPr>
        <w:pStyle w:val="7"/>
        <w:spacing w:after="0" w:line="600" w:lineRule="exact"/>
        <w:ind w:firstLine="0"/>
        <w:rPr>
          <w:rFonts w:ascii="仿宋_GB2312" w:eastAsia="仿宋_GB2312"/>
        </w:rPr>
      </w:pPr>
    </w:p>
    <w:p>
      <w:pPr>
        <w:adjustRightInd w:val="0"/>
        <w:snapToGrid w:val="0"/>
        <w:spacing w:line="600" w:lineRule="exact"/>
        <w:ind w:firstLine="480"/>
        <w:rPr>
          <w:rFonts w:hint="eastAsia" w:ascii="仿宋_GB2312" w:hAnsi="宋体" w:eastAsia="仿宋_GB2312"/>
          <w:kern w:val="0"/>
          <w:szCs w:val="21"/>
        </w:rPr>
      </w:pPr>
      <w:r>
        <w:rPr>
          <w:rFonts w:hint="eastAsia" w:ascii="仿宋_GB2312" w:hAnsi="宋体" w:eastAsia="仿宋_GB2312"/>
          <w:kern w:val="0"/>
          <w:szCs w:val="21"/>
        </w:rPr>
        <w:t>注：法人授权委托书亦可采用工商行政管理局统一制订的格式。</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6" w:hRule="atLeast"/>
        </w:trPr>
        <w:tc>
          <w:tcPr>
            <w:tcW w:w="9608" w:type="dxa"/>
          </w:tcPr>
          <w:p>
            <w:pPr>
              <w:adjustRightInd w:val="0"/>
              <w:snapToGrid w:val="0"/>
              <w:spacing w:line="600" w:lineRule="exact"/>
              <w:ind w:firstLine="560" w:firstLineChars="200"/>
              <w:rPr>
                <w:rFonts w:hint="eastAsia" w:ascii="宋体" w:hAnsi="宋体"/>
                <w:sz w:val="24"/>
                <w:szCs w:val="24"/>
              </w:rPr>
            </w:pPr>
            <w:r>
              <w:rPr>
                <w:rFonts w:hint="eastAsia" w:ascii="仿宋_GB2312" w:hAnsi="仿宋_GB2312" w:eastAsia="仿宋_GB2312" w:cs="仿宋_GB2312"/>
                <w:sz w:val="28"/>
                <w:szCs w:val="28"/>
              </w:rPr>
              <w:t>授权代理人在本单位近三个月社保记录，（以加盖社会保险基金管理中心印章的《缴费历史明细表》或《社会保险参保人员证明》为准，加盖单位公章。</w:t>
            </w:r>
          </w:p>
        </w:tc>
      </w:tr>
    </w:tbl>
    <w:p>
      <w:pPr>
        <w:rPr>
          <w:rFonts w:hint="eastAsia" w:ascii="仿宋" w:hAnsi="仿宋" w:eastAsia="仿宋" w:cs="仿宋_GB2312"/>
          <w:sz w:val="28"/>
          <w:szCs w:val="28"/>
        </w:rPr>
      </w:pPr>
      <w:r>
        <w:rPr>
          <w:rFonts w:ascii="仿宋" w:hAnsi="仿宋" w:eastAsia="仿宋" w:cs="仿宋_GB2312"/>
          <w:sz w:val="28"/>
          <w:szCs w:val="28"/>
        </w:rPr>
        <w:br w:type="page"/>
      </w:r>
    </w:p>
    <w:p>
      <w:pPr>
        <w:spacing w:line="360" w:lineRule="auto"/>
        <w:rPr>
          <w:rFonts w:hint="eastAsia" w:ascii="黑体" w:hAnsi="黑体" w:eastAsia="黑体" w:cs="黑体"/>
          <w:b/>
          <w:bCs/>
          <w:sz w:val="32"/>
          <w:szCs w:val="32"/>
        </w:rPr>
      </w:pPr>
      <w:bookmarkStart w:id="112" w:name="_Toc19830"/>
      <w:bookmarkStart w:id="113" w:name="_Toc88209963"/>
      <w:bookmarkStart w:id="114" w:name="_Toc8086"/>
      <w:bookmarkStart w:id="115" w:name="_Toc87616400"/>
      <w:r>
        <w:rPr>
          <w:rFonts w:hint="eastAsia" w:ascii="黑体" w:hAnsi="黑体" w:eastAsia="黑体" w:cs="黑体"/>
          <w:b/>
          <w:bCs/>
          <w:sz w:val="32"/>
          <w:szCs w:val="32"/>
        </w:rPr>
        <w:t>3.资格审查资料</w:t>
      </w:r>
      <w:bookmarkEnd w:id="112"/>
      <w:bookmarkEnd w:id="113"/>
      <w:bookmarkEnd w:id="114"/>
      <w:bookmarkEnd w:id="115"/>
    </w:p>
    <w:p>
      <w:pPr>
        <w:spacing w:line="360" w:lineRule="auto"/>
        <w:rPr>
          <w:rFonts w:hint="eastAsia" w:ascii="仿宋_GB2312" w:hAnsi="黑体" w:eastAsia="仿宋_GB2312"/>
          <w:sz w:val="28"/>
          <w:szCs w:val="28"/>
        </w:rPr>
      </w:pPr>
      <w:r>
        <w:rPr>
          <w:rFonts w:hint="eastAsia" w:ascii="仿宋_GB2312" w:hAnsi="黑体" w:eastAsia="仿宋_GB2312"/>
          <w:sz w:val="28"/>
          <w:szCs w:val="28"/>
        </w:rPr>
        <w:t>3.1供应商基本情况表</w:t>
      </w:r>
    </w:p>
    <w:tbl>
      <w:tblPr>
        <w:tblStyle w:val="26"/>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供应商名称</w:t>
            </w:r>
          </w:p>
        </w:tc>
        <w:tc>
          <w:tcPr>
            <w:tcW w:w="7278" w:type="dxa"/>
            <w:gridSpan w:val="9"/>
            <w:vAlign w:val="center"/>
          </w:tcPr>
          <w:p>
            <w:pPr>
              <w:adjustRightInd w:val="0"/>
              <w:snapToGrid w:val="0"/>
              <w:jc w:val="left"/>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510" w:hRule="atLeast"/>
        </w:trPr>
        <w:tc>
          <w:tcPr>
            <w:tcW w:w="1986" w:type="dxa"/>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注册地址</w:t>
            </w:r>
          </w:p>
        </w:tc>
        <w:tc>
          <w:tcPr>
            <w:tcW w:w="3118" w:type="dxa"/>
            <w:gridSpan w:val="3"/>
            <w:vAlign w:val="center"/>
          </w:tcPr>
          <w:p>
            <w:pPr>
              <w:adjustRightInd w:val="0"/>
              <w:snapToGrid w:val="0"/>
              <w:jc w:val="left"/>
              <w:rPr>
                <w:rFonts w:hint="eastAsia" w:ascii="仿宋_GB2312" w:eastAsia="仿宋_GB2312" w:hAnsiTheme="minorEastAsia"/>
                <w:sz w:val="28"/>
                <w:szCs w:val="28"/>
              </w:rPr>
            </w:pPr>
          </w:p>
        </w:tc>
        <w:tc>
          <w:tcPr>
            <w:tcW w:w="1570" w:type="dxa"/>
            <w:gridSpan w:val="3"/>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邮政编码</w:t>
            </w:r>
          </w:p>
        </w:tc>
        <w:tc>
          <w:tcPr>
            <w:tcW w:w="2590" w:type="dxa"/>
            <w:gridSpan w:val="3"/>
            <w:vAlign w:val="center"/>
          </w:tcPr>
          <w:p>
            <w:pPr>
              <w:adjustRightInd w:val="0"/>
              <w:snapToGrid w:val="0"/>
              <w:jc w:val="left"/>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Merge w:val="restart"/>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联系方式</w:t>
            </w:r>
          </w:p>
        </w:tc>
        <w:tc>
          <w:tcPr>
            <w:tcW w:w="1134" w:type="dxa"/>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联系人</w:t>
            </w:r>
          </w:p>
        </w:tc>
        <w:tc>
          <w:tcPr>
            <w:tcW w:w="1984" w:type="dxa"/>
            <w:gridSpan w:val="2"/>
            <w:vAlign w:val="center"/>
          </w:tcPr>
          <w:p>
            <w:pPr>
              <w:adjustRightInd w:val="0"/>
              <w:snapToGrid w:val="0"/>
              <w:jc w:val="left"/>
              <w:rPr>
                <w:rFonts w:hint="eastAsia" w:ascii="仿宋_GB2312" w:eastAsia="仿宋_GB2312" w:hAnsiTheme="minorEastAsia"/>
                <w:sz w:val="28"/>
                <w:szCs w:val="28"/>
              </w:rPr>
            </w:pPr>
          </w:p>
        </w:tc>
        <w:tc>
          <w:tcPr>
            <w:tcW w:w="1570" w:type="dxa"/>
            <w:gridSpan w:val="3"/>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电话</w:t>
            </w:r>
          </w:p>
        </w:tc>
        <w:tc>
          <w:tcPr>
            <w:tcW w:w="2590" w:type="dxa"/>
            <w:gridSpan w:val="3"/>
            <w:vAlign w:val="center"/>
          </w:tcPr>
          <w:p>
            <w:pPr>
              <w:adjustRightInd w:val="0"/>
              <w:snapToGrid w:val="0"/>
              <w:jc w:val="left"/>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Merge w:val="continue"/>
            <w:vAlign w:val="center"/>
          </w:tcPr>
          <w:p>
            <w:pPr>
              <w:adjustRightInd w:val="0"/>
              <w:snapToGrid w:val="0"/>
              <w:jc w:val="left"/>
              <w:rPr>
                <w:rFonts w:hint="eastAsia" w:ascii="仿宋_GB2312" w:eastAsia="仿宋_GB2312" w:hAnsiTheme="minorEastAsia"/>
                <w:sz w:val="28"/>
                <w:szCs w:val="28"/>
              </w:rPr>
            </w:pPr>
          </w:p>
        </w:tc>
        <w:tc>
          <w:tcPr>
            <w:tcW w:w="1134" w:type="dxa"/>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传真</w:t>
            </w:r>
          </w:p>
        </w:tc>
        <w:tc>
          <w:tcPr>
            <w:tcW w:w="1984" w:type="dxa"/>
            <w:gridSpan w:val="2"/>
            <w:vAlign w:val="center"/>
          </w:tcPr>
          <w:p>
            <w:pPr>
              <w:adjustRightInd w:val="0"/>
              <w:snapToGrid w:val="0"/>
              <w:jc w:val="left"/>
              <w:rPr>
                <w:rFonts w:hint="eastAsia" w:ascii="仿宋_GB2312" w:eastAsia="仿宋_GB2312" w:hAnsiTheme="minorEastAsia"/>
                <w:sz w:val="28"/>
                <w:szCs w:val="28"/>
              </w:rPr>
            </w:pPr>
          </w:p>
        </w:tc>
        <w:tc>
          <w:tcPr>
            <w:tcW w:w="1570" w:type="dxa"/>
            <w:gridSpan w:val="3"/>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网址</w:t>
            </w:r>
          </w:p>
        </w:tc>
        <w:tc>
          <w:tcPr>
            <w:tcW w:w="2590" w:type="dxa"/>
            <w:gridSpan w:val="3"/>
            <w:vAlign w:val="center"/>
          </w:tcPr>
          <w:p>
            <w:pPr>
              <w:adjustRightInd w:val="0"/>
              <w:snapToGrid w:val="0"/>
              <w:jc w:val="left"/>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组织结构</w:t>
            </w:r>
          </w:p>
        </w:tc>
        <w:tc>
          <w:tcPr>
            <w:tcW w:w="7278" w:type="dxa"/>
            <w:gridSpan w:val="9"/>
            <w:vAlign w:val="center"/>
          </w:tcPr>
          <w:p>
            <w:pPr>
              <w:adjustRightInd w:val="0"/>
              <w:snapToGrid w:val="0"/>
              <w:jc w:val="left"/>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510" w:hRule="atLeast"/>
        </w:trPr>
        <w:tc>
          <w:tcPr>
            <w:tcW w:w="1986" w:type="dxa"/>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法定代表人</w:t>
            </w:r>
          </w:p>
        </w:tc>
        <w:tc>
          <w:tcPr>
            <w:tcW w:w="1134" w:type="dxa"/>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姓名</w:t>
            </w:r>
          </w:p>
        </w:tc>
        <w:tc>
          <w:tcPr>
            <w:tcW w:w="966" w:type="dxa"/>
            <w:vAlign w:val="center"/>
          </w:tcPr>
          <w:p>
            <w:pPr>
              <w:adjustRightInd w:val="0"/>
              <w:snapToGrid w:val="0"/>
              <w:jc w:val="left"/>
              <w:rPr>
                <w:rFonts w:hint="eastAsia" w:ascii="仿宋_GB2312" w:eastAsia="仿宋_GB2312" w:hAnsiTheme="minorEastAsia"/>
                <w:sz w:val="28"/>
                <w:szCs w:val="28"/>
              </w:rPr>
            </w:pPr>
          </w:p>
        </w:tc>
        <w:tc>
          <w:tcPr>
            <w:tcW w:w="1443" w:type="dxa"/>
            <w:gridSpan w:val="3"/>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技术职称</w:t>
            </w:r>
          </w:p>
        </w:tc>
        <w:tc>
          <w:tcPr>
            <w:tcW w:w="1145" w:type="dxa"/>
            <w:vAlign w:val="center"/>
          </w:tcPr>
          <w:p>
            <w:pPr>
              <w:adjustRightInd w:val="0"/>
              <w:snapToGrid w:val="0"/>
              <w:jc w:val="left"/>
              <w:rPr>
                <w:rFonts w:hint="eastAsia" w:ascii="仿宋_GB2312" w:eastAsia="仿宋_GB2312" w:hAnsiTheme="minorEastAsia"/>
                <w:sz w:val="28"/>
                <w:szCs w:val="28"/>
              </w:rPr>
            </w:pPr>
          </w:p>
        </w:tc>
        <w:tc>
          <w:tcPr>
            <w:tcW w:w="1295" w:type="dxa"/>
            <w:gridSpan w:val="2"/>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电话</w:t>
            </w:r>
          </w:p>
        </w:tc>
        <w:tc>
          <w:tcPr>
            <w:tcW w:w="1295" w:type="dxa"/>
            <w:vAlign w:val="center"/>
          </w:tcPr>
          <w:p>
            <w:pPr>
              <w:adjustRightInd w:val="0"/>
              <w:snapToGrid w:val="0"/>
              <w:jc w:val="left"/>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技术负责人</w:t>
            </w:r>
          </w:p>
        </w:tc>
        <w:tc>
          <w:tcPr>
            <w:tcW w:w="1134" w:type="dxa"/>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姓名</w:t>
            </w:r>
          </w:p>
        </w:tc>
        <w:tc>
          <w:tcPr>
            <w:tcW w:w="966" w:type="dxa"/>
            <w:vAlign w:val="center"/>
          </w:tcPr>
          <w:p>
            <w:pPr>
              <w:adjustRightInd w:val="0"/>
              <w:snapToGrid w:val="0"/>
              <w:jc w:val="left"/>
              <w:rPr>
                <w:rFonts w:hint="eastAsia" w:ascii="仿宋_GB2312" w:eastAsia="仿宋_GB2312" w:hAnsiTheme="minorEastAsia"/>
                <w:sz w:val="28"/>
                <w:szCs w:val="28"/>
              </w:rPr>
            </w:pPr>
          </w:p>
        </w:tc>
        <w:tc>
          <w:tcPr>
            <w:tcW w:w="1443" w:type="dxa"/>
            <w:gridSpan w:val="3"/>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技术职称</w:t>
            </w:r>
          </w:p>
        </w:tc>
        <w:tc>
          <w:tcPr>
            <w:tcW w:w="1145" w:type="dxa"/>
            <w:vAlign w:val="center"/>
          </w:tcPr>
          <w:p>
            <w:pPr>
              <w:adjustRightInd w:val="0"/>
              <w:snapToGrid w:val="0"/>
              <w:jc w:val="left"/>
              <w:rPr>
                <w:rFonts w:hint="eastAsia" w:ascii="仿宋_GB2312" w:eastAsia="仿宋_GB2312" w:hAnsiTheme="minorEastAsia"/>
                <w:sz w:val="28"/>
                <w:szCs w:val="28"/>
              </w:rPr>
            </w:pPr>
          </w:p>
        </w:tc>
        <w:tc>
          <w:tcPr>
            <w:tcW w:w="1295" w:type="dxa"/>
            <w:gridSpan w:val="2"/>
            <w:vAlign w:val="center"/>
          </w:tcPr>
          <w:p>
            <w:pPr>
              <w:adjustRightInd w:val="0"/>
              <w:snapToGrid w:val="0"/>
              <w:jc w:val="left"/>
              <w:rPr>
                <w:rFonts w:hint="eastAsia" w:ascii="仿宋_GB2312" w:eastAsia="仿宋_GB2312" w:hAnsiTheme="minorEastAsia"/>
                <w:sz w:val="28"/>
                <w:szCs w:val="28"/>
              </w:rPr>
            </w:pPr>
            <w:r>
              <w:rPr>
                <w:rFonts w:hint="eastAsia" w:ascii="仿宋_GB2312" w:eastAsia="仿宋_GB2312" w:hAnsiTheme="minorEastAsia"/>
                <w:sz w:val="28"/>
                <w:szCs w:val="28"/>
              </w:rPr>
              <w:t>电话</w:t>
            </w:r>
          </w:p>
        </w:tc>
        <w:tc>
          <w:tcPr>
            <w:tcW w:w="1295" w:type="dxa"/>
            <w:vAlign w:val="center"/>
          </w:tcPr>
          <w:p>
            <w:pPr>
              <w:adjustRightInd w:val="0"/>
              <w:snapToGrid w:val="0"/>
              <w:jc w:val="left"/>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成立时间</w:t>
            </w:r>
          </w:p>
        </w:tc>
        <w:tc>
          <w:tcPr>
            <w:tcW w:w="2100" w:type="dxa"/>
            <w:gridSpan w:val="2"/>
            <w:vAlign w:val="center"/>
          </w:tcPr>
          <w:p>
            <w:pPr>
              <w:adjustRightInd w:val="0"/>
              <w:snapToGrid w:val="0"/>
              <w:rPr>
                <w:rFonts w:hint="eastAsia" w:ascii="仿宋_GB2312" w:eastAsia="仿宋_GB2312" w:hAnsiTheme="minorEastAsia"/>
                <w:sz w:val="28"/>
                <w:szCs w:val="28"/>
              </w:rPr>
            </w:pPr>
          </w:p>
        </w:tc>
        <w:tc>
          <w:tcPr>
            <w:tcW w:w="5178" w:type="dxa"/>
            <w:gridSpan w:val="7"/>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企业资质等级</w:t>
            </w:r>
          </w:p>
        </w:tc>
        <w:tc>
          <w:tcPr>
            <w:tcW w:w="2100" w:type="dxa"/>
            <w:gridSpan w:val="2"/>
            <w:vAlign w:val="center"/>
          </w:tcPr>
          <w:p>
            <w:pPr>
              <w:adjustRightInd w:val="0"/>
              <w:snapToGrid w:val="0"/>
              <w:rPr>
                <w:rFonts w:hint="eastAsia" w:ascii="仿宋_GB2312" w:eastAsia="仿宋_GB2312" w:hAnsiTheme="minorEastAsia"/>
                <w:sz w:val="28"/>
                <w:szCs w:val="28"/>
              </w:rPr>
            </w:pPr>
          </w:p>
        </w:tc>
        <w:tc>
          <w:tcPr>
            <w:tcW w:w="1160" w:type="dxa"/>
            <w:gridSpan w:val="2"/>
            <w:vMerge w:val="restart"/>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其中</w:t>
            </w:r>
          </w:p>
        </w:tc>
        <w:tc>
          <w:tcPr>
            <w:tcW w:w="2268" w:type="dxa"/>
            <w:gridSpan w:val="3"/>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项目负责人</w:t>
            </w:r>
          </w:p>
        </w:tc>
        <w:tc>
          <w:tcPr>
            <w:tcW w:w="1750" w:type="dxa"/>
            <w:gridSpan w:val="2"/>
            <w:vAlign w:val="center"/>
          </w:tcPr>
          <w:p>
            <w:pPr>
              <w:adjustRightInd w:val="0"/>
              <w:snapToGrid w:val="0"/>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营业执照号</w:t>
            </w:r>
          </w:p>
        </w:tc>
        <w:tc>
          <w:tcPr>
            <w:tcW w:w="2100" w:type="dxa"/>
            <w:gridSpan w:val="2"/>
            <w:vAlign w:val="center"/>
          </w:tcPr>
          <w:p>
            <w:pPr>
              <w:adjustRightInd w:val="0"/>
              <w:snapToGrid w:val="0"/>
              <w:rPr>
                <w:rFonts w:hint="eastAsia" w:ascii="仿宋_GB2312" w:eastAsia="仿宋_GB2312" w:hAnsiTheme="minorEastAsia"/>
                <w:sz w:val="28"/>
                <w:szCs w:val="28"/>
              </w:rPr>
            </w:pPr>
          </w:p>
        </w:tc>
        <w:tc>
          <w:tcPr>
            <w:tcW w:w="1160" w:type="dxa"/>
            <w:gridSpan w:val="2"/>
            <w:vMerge w:val="continue"/>
            <w:vAlign w:val="center"/>
          </w:tcPr>
          <w:p>
            <w:pPr>
              <w:adjustRightInd w:val="0"/>
              <w:snapToGrid w:val="0"/>
              <w:rPr>
                <w:rFonts w:hint="eastAsia" w:ascii="仿宋_GB2312" w:eastAsia="仿宋_GB2312" w:hAnsiTheme="minorEastAsia"/>
                <w:sz w:val="28"/>
                <w:szCs w:val="28"/>
              </w:rPr>
            </w:pPr>
          </w:p>
        </w:tc>
        <w:tc>
          <w:tcPr>
            <w:tcW w:w="2268" w:type="dxa"/>
            <w:gridSpan w:val="3"/>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□高级职称人员</w:t>
            </w:r>
          </w:p>
        </w:tc>
        <w:tc>
          <w:tcPr>
            <w:tcW w:w="1750" w:type="dxa"/>
            <w:gridSpan w:val="2"/>
            <w:vAlign w:val="center"/>
          </w:tcPr>
          <w:p>
            <w:pPr>
              <w:adjustRightInd w:val="0"/>
              <w:snapToGrid w:val="0"/>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510" w:hRule="atLeast"/>
        </w:trPr>
        <w:tc>
          <w:tcPr>
            <w:tcW w:w="1986" w:type="dxa"/>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注册资金</w:t>
            </w:r>
          </w:p>
        </w:tc>
        <w:tc>
          <w:tcPr>
            <w:tcW w:w="2100" w:type="dxa"/>
            <w:gridSpan w:val="2"/>
            <w:vAlign w:val="center"/>
          </w:tcPr>
          <w:p>
            <w:pPr>
              <w:adjustRightInd w:val="0"/>
              <w:snapToGrid w:val="0"/>
              <w:rPr>
                <w:rFonts w:hint="eastAsia" w:ascii="仿宋_GB2312" w:eastAsia="仿宋_GB2312" w:hAnsiTheme="minorEastAsia"/>
                <w:sz w:val="28"/>
                <w:szCs w:val="28"/>
              </w:rPr>
            </w:pPr>
          </w:p>
        </w:tc>
        <w:tc>
          <w:tcPr>
            <w:tcW w:w="1160" w:type="dxa"/>
            <w:gridSpan w:val="2"/>
            <w:vMerge w:val="continue"/>
            <w:vAlign w:val="center"/>
          </w:tcPr>
          <w:p>
            <w:pPr>
              <w:adjustRightInd w:val="0"/>
              <w:snapToGrid w:val="0"/>
              <w:rPr>
                <w:rFonts w:hint="eastAsia" w:ascii="仿宋_GB2312" w:eastAsia="仿宋_GB2312" w:hAnsiTheme="minorEastAsia"/>
                <w:sz w:val="28"/>
                <w:szCs w:val="28"/>
              </w:rPr>
            </w:pPr>
          </w:p>
        </w:tc>
        <w:tc>
          <w:tcPr>
            <w:tcW w:w="2268" w:type="dxa"/>
            <w:gridSpan w:val="3"/>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□中级职称人员</w:t>
            </w:r>
          </w:p>
        </w:tc>
        <w:tc>
          <w:tcPr>
            <w:tcW w:w="1750" w:type="dxa"/>
            <w:gridSpan w:val="2"/>
            <w:vAlign w:val="center"/>
          </w:tcPr>
          <w:p>
            <w:pPr>
              <w:adjustRightInd w:val="0"/>
              <w:snapToGrid w:val="0"/>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开户银行</w:t>
            </w:r>
          </w:p>
        </w:tc>
        <w:tc>
          <w:tcPr>
            <w:tcW w:w="2100" w:type="dxa"/>
            <w:gridSpan w:val="2"/>
            <w:vAlign w:val="center"/>
          </w:tcPr>
          <w:p>
            <w:pPr>
              <w:adjustRightInd w:val="0"/>
              <w:snapToGrid w:val="0"/>
              <w:rPr>
                <w:rFonts w:hint="eastAsia" w:ascii="仿宋_GB2312" w:eastAsia="仿宋_GB2312" w:hAnsiTheme="minorEastAsia"/>
                <w:sz w:val="28"/>
                <w:szCs w:val="28"/>
              </w:rPr>
            </w:pPr>
          </w:p>
        </w:tc>
        <w:tc>
          <w:tcPr>
            <w:tcW w:w="1160" w:type="dxa"/>
            <w:gridSpan w:val="2"/>
            <w:vMerge w:val="continue"/>
            <w:vAlign w:val="center"/>
          </w:tcPr>
          <w:p>
            <w:pPr>
              <w:adjustRightInd w:val="0"/>
              <w:snapToGrid w:val="0"/>
              <w:rPr>
                <w:rFonts w:hint="eastAsia" w:ascii="仿宋_GB2312" w:eastAsia="仿宋_GB2312" w:hAnsiTheme="minorEastAsia"/>
                <w:sz w:val="28"/>
                <w:szCs w:val="28"/>
              </w:rPr>
            </w:pPr>
          </w:p>
        </w:tc>
        <w:tc>
          <w:tcPr>
            <w:tcW w:w="2268" w:type="dxa"/>
            <w:gridSpan w:val="3"/>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□初级职称人员</w:t>
            </w:r>
          </w:p>
        </w:tc>
        <w:tc>
          <w:tcPr>
            <w:tcW w:w="1750" w:type="dxa"/>
            <w:gridSpan w:val="2"/>
            <w:vAlign w:val="center"/>
          </w:tcPr>
          <w:p>
            <w:pPr>
              <w:adjustRightInd w:val="0"/>
              <w:snapToGrid w:val="0"/>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账户</w:t>
            </w:r>
          </w:p>
        </w:tc>
        <w:tc>
          <w:tcPr>
            <w:tcW w:w="2100" w:type="dxa"/>
            <w:gridSpan w:val="2"/>
            <w:vAlign w:val="center"/>
          </w:tcPr>
          <w:p>
            <w:pPr>
              <w:adjustRightInd w:val="0"/>
              <w:snapToGrid w:val="0"/>
              <w:rPr>
                <w:rFonts w:hint="eastAsia" w:ascii="仿宋_GB2312" w:eastAsia="仿宋_GB2312" w:hAnsiTheme="minorEastAsia"/>
                <w:sz w:val="28"/>
                <w:szCs w:val="28"/>
              </w:rPr>
            </w:pPr>
          </w:p>
        </w:tc>
        <w:tc>
          <w:tcPr>
            <w:tcW w:w="1160" w:type="dxa"/>
            <w:gridSpan w:val="2"/>
            <w:vMerge w:val="continue"/>
            <w:vAlign w:val="center"/>
          </w:tcPr>
          <w:p>
            <w:pPr>
              <w:adjustRightInd w:val="0"/>
              <w:snapToGrid w:val="0"/>
              <w:rPr>
                <w:rFonts w:hint="eastAsia" w:ascii="仿宋_GB2312" w:eastAsia="仿宋_GB2312" w:hAnsiTheme="minorEastAsia"/>
                <w:sz w:val="28"/>
                <w:szCs w:val="28"/>
              </w:rPr>
            </w:pPr>
          </w:p>
        </w:tc>
        <w:tc>
          <w:tcPr>
            <w:tcW w:w="2268" w:type="dxa"/>
            <w:gridSpan w:val="3"/>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□技工</w:t>
            </w:r>
          </w:p>
        </w:tc>
        <w:tc>
          <w:tcPr>
            <w:tcW w:w="1750" w:type="dxa"/>
            <w:gridSpan w:val="2"/>
            <w:vAlign w:val="center"/>
          </w:tcPr>
          <w:p>
            <w:pPr>
              <w:adjustRightInd w:val="0"/>
              <w:snapToGrid w:val="0"/>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4" w:hRule="atLeast"/>
        </w:trPr>
        <w:tc>
          <w:tcPr>
            <w:tcW w:w="1986" w:type="dxa"/>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经营范围</w:t>
            </w:r>
          </w:p>
        </w:tc>
        <w:tc>
          <w:tcPr>
            <w:tcW w:w="7278" w:type="dxa"/>
            <w:gridSpan w:val="9"/>
            <w:vAlign w:val="center"/>
          </w:tcPr>
          <w:p>
            <w:pPr>
              <w:adjustRightInd w:val="0"/>
              <w:snapToGrid w:val="0"/>
              <w:rPr>
                <w:rFonts w:hint="eastAsia"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0" w:hRule="atLeast"/>
        </w:trPr>
        <w:tc>
          <w:tcPr>
            <w:tcW w:w="1986" w:type="dxa"/>
            <w:vAlign w:val="center"/>
          </w:tcPr>
          <w:p>
            <w:pPr>
              <w:adjustRightInd w:val="0"/>
              <w:snapToGrid w:val="0"/>
              <w:rPr>
                <w:rFonts w:hint="eastAsia" w:ascii="仿宋_GB2312" w:eastAsia="仿宋_GB2312" w:hAnsiTheme="minorEastAsia"/>
                <w:sz w:val="28"/>
                <w:szCs w:val="28"/>
              </w:rPr>
            </w:pPr>
            <w:r>
              <w:rPr>
                <w:rFonts w:hint="eastAsia" w:ascii="仿宋_GB2312" w:eastAsia="仿宋_GB2312" w:hAnsiTheme="minorEastAsia"/>
                <w:sz w:val="28"/>
                <w:szCs w:val="28"/>
              </w:rPr>
              <w:t>备注</w:t>
            </w:r>
          </w:p>
        </w:tc>
        <w:tc>
          <w:tcPr>
            <w:tcW w:w="7278" w:type="dxa"/>
            <w:gridSpan w:val="9"/>
            <w:vAlign w:val="center"/>
          </w:tcPr>
          <w:p>
            <w:pPr>
              <w:adjustRightInd w:val="0"/>
              <w:snapToGrid w:val="0"/>
              <w:rPr>
                <w:rFonts w:hint="eastAsia" w:ascii="仿宋_GB2312" w:eastAsia="仿宋_GB2312" w:hAnsiTheme="minorEastAsia"/>
                <w:sz w:val="28"/>
                <w:szCs w:val="28"/>
              </w:rPr>
            </w:pPr>
          </w:p>
        </w:tc>
      </w:tr>
    </w:tbl>
    <w:p>
      <w:pPr>
        <w:adjustRightInd w:val="0"/>
        <w:snapToGrid w:val="0"/>
        <w:ind w:firstLine="573"/>
        <w:rPr>
          <w:rFonts w:hint="eastAsia" w:cs="Times New Roman" w:asciiTheme="minorEastAsia" w:hAnsiTheme="minorEastAsia"/>
          <w:b/>
          <w:bCs/>
          <w:sz w:val="28"/>
          <w:szCs w:val="28"/>
        </w:rPr>
      </w:pPr>
      <w:r>
        <w:rPr>
          <w:rFonts w:ascii="仿宋_GB2312" w:eastAsia="仿宋_GB2312" w:hAnsiTheme="minorEastAsia"/>
          <w:sz w:val="28"/>
          <w:szCs w:val="28"/>
        </w:rPr>
        <w:t>注</w:t>
      </w:r>
      <w:r>
        <w:rPr>
          <w:rFonts w:hint="eastAsia" w:ascii="仿宋_GB2312" w:eastAsia="仿宋_GB2312" w:hAnsiTheme="minorEastAsia"/>
          <w:sz w:val="28"/>
          <w:szCs w:val="28"/>
        </w:rPr>
        <w:t>：</w:t>
      </w:r>
      <w:r>
        <w:rPr>
          <w:rFonts w:ascii="仿宋_GB2312" w:eastAsia="仿宋_GB2312" w:hAnsiTheme="minorEastAsia"/>
          <w:sz w:val="28"/>
          <w:szCs w:val="28"/>
        </w:rPr>
        <w:t>供应商应按供应商须知的要求提供主体资格证明材料及相关资质证明材料</w:t>
      </w:r>
      <w:r>
        <w:rPr>
          <w:rFonts w:hint="eastAsia" w:ascii="仿宋_GB2312" w:eastAsia="仿宋_GB2312" w:hAnsiTheme="minorEastAsia"/>
          <w:sz w:val="28"/>
          <w:szCs w:val="28"/>
        </w:rPr>
        <w:t>。</w:t>
      </w:r>
      <w:r>
        <w:rPr>
          <w:rFonts w:hint="eastAsia" w:cs="Times New Roman" w:asciiTheme="minorEastAsia" w:hAnsiTheme="minorEastAsia"/>
          <w:b/>
          <w:bCs/>
          <w:sz w:val="28"/>
          <w:szCs w:val="28"/>
        </w:rPr>
        <w:t>（相关证明文件附后）</w:t>
      </w:r>
    </w:p>
    <w:p>
      <w:pPr>
        <w:adjustRightInd w:val="0"/>
        <w:snapToGrid w:val="0"/>
        <w:spacing w:line="360" w:lineRule="auto"/>
        <w:jc w:val="right"/>
        <w:rPr>
          <w:rFonts w:hint="eastAsia" w:ascii="宋体" w:hAnsi="宋体" w:eastAsia="宋体" w:cs="宋体"/>
          <w:sz w:val="24"/>
          <w:szCs w:val="24"/>
          <w:lang w:val="en-GB"/>
        </w:rPr>
      </w:pPr>
      <w:bookmarkStart w:id="116" w:name="_Hlk59025866"/>
      <w:r>
        <w:rPr>
          <w:rFonts w:hint="eastAsia" w:ascii="宋体" w:hAnsi="宋体" w:eastAsia="宋体" w:cs="宋体"/>
          <w:sz w:val="24"/>
          <w:szCs w:val="24"/>
          <w:lang w:val="en-GB"/>
        </w:rPr>
        <w:t>供应商名称（加盖公章）：</w:t>
      </w:r>
    </w:p>
    <w:p>
      <w:pPr>
        <w:rPr>
          <w:rFonts w:hint="eastAsia" w:ascii="宋体" w:hAnsi="宋体" w:eastAsia="宋体" w:cs="宋体"/>
          <w:sz w:val="24"/>
          <w:szCs w:val="24"/>
          <w:lang w:val="en-GB"/>
        </w:rPr>
      </w:pPr>
      <w:r>
        <w:rPr>
          <w:rFonts w:hint="eastAsia" w:ascii="宋体" w:hAnsi="宋体" w:eastAsia="宋体" w:cs="宋体"/>
          <w:sz w:val="24"/>
          <w:szCs w:val="24"/>
          <w:lang w:val="en-GB"/>
        </w:rPr>
        <w:br w:type="page"/>
      </w:r>
    </w:p>
    <w:p>
      <w:pPr>
        <w:adjustRightInd w:val="0"/>
        <w:snapToGrid w:val="0"/>
        <w:spacing w:line="360" w:lineRule="auto"/>
        <w:jc w:val="left"/>
        <w:rPr>
          <w:rFonts w:hint="eastAsia" w:cs="Times New Roman" w:asciiTheme="minorEastAsia" w:hAnsiTheme="minorEastAsia"/>
          <w:b/>
          <w:bCs/>
          <w:sz w:val="28"/>
          <w:szCs w:val="28"/>
        </w:rPr>
      </w:pPr>
      <w:r>
        <w:rPr>
          <w:rFonts w:hint="eastAsia" w:cs="Times New Roman" w:asciiTheme="minorEastAsia" w:hAnsiTheme="minorEastAsia"/>
          <w:b/>
          <w:bCs/>
          <w:sz w:val="28"/>
          <w:szCs w:val="28"/>
        </w:rPr>
        <w:t>3.2不得存在情形承诺函</w:t>
      </w:r>
    </w:p>
    <w:bookmarkEnd w:id="116"/>
    <w:p>
      <w:pPr>
        <w:adjustRightInd w:val="0"/>
        <w:snapToGrid w:val="0"/>
        <w:spacing w:line="360" w:lineRule="auto"/>
        <w:rPr>
          <w:rFonts w:hint="eastAsia" w:ascii="宋体" w:hAnsi="宋体" w:eastAsia="宋体" w:cs="宋体"/>
          <w:sz w:val="24"/>
          <w:szCs w:val="24"/>
          <w:lang w:val="en-GB"/>
        </w:rPr>
      </w:pPr>
    </w:p>
    <w:p>
      <w:pPr>
        <w:adjustRightInd w:val="0"/>
        <w:snapToGrid w:val="0"/>
        <w:spacing w:line="360" w:lineRule="auto"/>
        <w:rPr>
          <w:rFonts w:hint="eastAsia" w:ascii="宋体" w:hAnsi="宋体" w:eastAsia="宋体" w:cs="宋体"/>
          <w:sz w:val="24"/>
          <w:szCs w:val="24"/>
          <w:lang w:val="en-GB"/>
        </w:rPr>
      </w:pPr>
      <w:r>
        <w:rPr>
          <w:rFonts w:hint="eastAsia" w:ascii="宋体" w:hAnsi="宋体" w:eastAsia="宋体" w:cs="宋体"/>
          <w:sz w:val="24"/>
          <w:szCs w:val="24"/>
          <w:lang w:val="en-GB"/>
        </w:rPr>
        <w:t>致：</w:t>
      </w:r>
      <w:r>
        <w:rPr>
          <w:rFonts w:hint="eastAsia" w:ascii="宋体" w:hAnsi="宋体" w:eastAsia="宋体" w:cs="宋体"/>
          <w:b/>
          <w:bCs/>
          <w:sz w:val="24"/>
          <w:szCs w:val="24"/>
          <w:shd w:val="clear" w:color="auto" w:fill="FFFFFF"/>
        </w:rPr>
        <w:t>广州市净水有限公司</w:t>
      </w:r>
    </w:p>
    <w:p>
      <w:pPr>
        <w:adjustRightInd w:val="0"/>
        <w:snapToGrid w:val="0"/>
        <w:spacing w:line="360" w:lineRule="auto"/>
        <w:ind w:firstLine="480" w:firstLineChars="200"/>
        <w:rPr>
          <w:rFonts w:ascii="仿宋_GB2312" w:eastAsia="仿宋_GB2312"/>
          <w:sz w:val="28"/>
          <w:szCs w:val="28"/>
        </w:rPr>
      </w:pPr>
      <w:r>
        <w:rPr>
          <w:rFonts w:hint="eastAsia" w:ascii="宋体" w:hAnsi="宋体" w:eastAsia="宋体" w:cs="宋体"/>
          <w:sz w:val="24"/>
          <w:szCs w:val="24"/>
          <w:lang w:val="en-GB"/>
        </w:rPr>
        <w:t>我方郑重承诺，在参与</w:t>
      </w:r>
      <w:r>
        <w:rPr>
          <w:rFonts w:hint="eastAsia" w:ascii="宋体" w:hAnsi="宋体" w:cs="宋体"/>
          <w:sz w:val="24"/>
          <w:szCs w:val="24"/>
          <w:lang w:val="en-GB"/>
        </w:rPr>
        <w:t>广州市净水有限公司</w:t>
      </w:r>
      <w:r>
        <w:rPr>
          <w:rFonts w:hint="eastAsia" w:ascii="宋体" w:hAnsi="宋体" w:cs="宋体"/>
          <w:sz w:val="24"/>
          <w:szCs w:val="24"/>
          <w:u w:val="single"/>
        </w:rPr>
        <w:t xml:space="preserve">                 </w:t>
      </w:r>
      <w:r>
        <w:rPr>
          <w:rFonts w:hint="eastAsia" w:ascii="宋体" w:hAnsi="宋体" w:cs="宋体"/>
          <w:sz w:val="24"/>
          <w:szCs w:val="24"/>
          <w:lang w:val="en-GB"/>
        </w:rPr>
        <w:t>项目</w:t>
      </w:r>
      <w:r>
        <w:rPr>
          <w:rFonts w:hint="eastAsia" w:ascii="宋体" w:hAnsi="宋体" w:eastAsia="宋体" w:cs="宋体"/>
          <w:sz w:val="24"/>
          <w:szCs w:val="24"/>
          <w:u w:val="single"/>
          <w:lang w:val="en-GB"/>
        </w:rPr>
        <w:t>（项目编号： ******）</w:t>
      </w:r>
      <w:r>
        <w:rPr>
          <w:rFonts w:hint="eastAsia" w:ascii="宋体" w:hAnsi="宋体" w:eastAsia="宋体" w:cs="宋体"/>
          <w:sz w:val="24"/>
          <w:szCs w:val="24"/>
          <w:lang w:val="en-GB"/>
        </w:rPr>
        <w:t>采购期间，未被</w:t>
      </w:r>
      <w:r>
        <w:rPr>
          <w:rFonts w:hint="eastAsia" w:ascii="仿宋_GB2312" w:eastAsia="仿宋_GB2312"/>
          <w:sz w:val="28"/>
          <w:szCs w:val="28"/>
        </w:rPr>
        <w:t>列入下列情形之一：</w:t>
      </w:r>
    </w:p>
    <w:p>
      <w:pPr>
        <w:adjustRightInd w:val="0"/>
        <w:snapToGrid w:val="0"/>
        <w:spacing w:line="360" w:lineRule="auto"/>
        <w:ind w:firstLine="480" w:firstLineChars="200"/>
        <w:rPr>
          <w:rFonts w:hint="eastAsia" w:ascii="宋体" w:hAnsi="宋体" w:cs="宋体"/>
          <w:sz w:val="24"/>
          <w:szCs w:val="24"/>
          <w:lang w:val="en-GB"/>
        </w:rPr>
      </w:pPr>
      <w:r>
        <w:rPr>
          <w:rFonts w:hint="eastAsia" w:ascii="宋体" w:hAnsi="宋体" w:cs="宋体"/>
          <w:sz w:val="24"/>
          <w:szCs w:val="24"/>
          <w:lang w:val="en-GB"/>
        </w:rPr>
        <w:t>（1）与本项目其他供应商的单位负责人为同一人。</w:t>
      </w:r>
    </w:p>
    <w:p>
      <w:pPr>
        <w:adjustRightInd w:val="0"/>
        <w:snapToGrid w:val="0"/>
        <w:spacing w:line="360" w:lineRule="auto"/>
        <w:ind w:firstLine="480" w:firstLineChars="200"/>
        <w:rPr>
          <w:rFonts w:hint="eastAsia" w:ascii="宋体" w:hAnsi="宋体" w:cs="宋体"/>
          <w:sz w:val="24"/>
          <w:szCs w:val="24"/>
          <w:lang w:val="en-GB"/>
        </w:rPr>
      </w:pPr>
      <w:r>
        <w:rPr>
          <w:rFonts w:hint="eastAsia" w:ascii="宋体" w:hAnsi="宋体" w:cs="宋体"/>
          <w:sz w:val="24"/>
          <w:szCs w:val="24"/>
          <w:lang w:val="en-GB"/>
        </w:rPr>
        <w:t>（2）与本项目其他供应商存在控股</w:t>
      </w:r>
      <w:r>
        <w:rPr>
          <w:rFonts w:hint="eastAsia" w:ascii="宋体" w:hAnsi="宋体" w:cs="宋体"/>
          <w:sz w:val="24"/>
          <w:szCs w:val="24"/>
        </w:rPr>
        <w:t>或</w:t>
      </w:r>
      <w:r>
        <w:rPr>
          <w:rFonts w:hint="eastAsia" w:ascii="宋体" w:hAnsi="宋体" w:cs="宋体"/>
          <w:sz w:val="24"/>
          <w:szCs w:val="24"/>
          <w:lang w:val="en-GB"/>
        </w:rPr>
        <w:t>管理关系。</w:t>
      </w:r>
    </w:p>
    <w:p>
      <w:pPr>
        <w:adjustRightInd w:val="0"/>
        <w:snapToGrid w:val="0"/>
        <w:spacing w:line="360" w:lineRule="auto"/>
        <w:ind w:firstLine="480" w:firstLineChars="200"/>
        <w:rPr>
          <w:rFonts w:hint="eastAsia"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3</w:t>
      </w:r>
      <w:r>
        <w:rPr>
          <w:rFonts w:hint="eastAsia" w:ascii="宋体" w:hAnsi="宋体" w:cs="宋体"/>
          <w:sz w:val="24"/>
          <w:szCs w:val="24"/>
          <w:lang w:val="en-GB"/>
        </w:rPr>
        <w:t>）被本项目所在地省级以上行业主管部门依法暂停、取消投标或禁止参加采购活动且处于有效期内的。</w:t>
      </w:r>
    </w:p>
    <w:p>
      <w:pPr>
        <w:adjustRightInd w:val="0"/>
        <w:snapToGrid w:val="0"/>
        <w:spacing w:line="360" w:lineRule="auto"/>
        <w:ind w:firstLine="480" w:firstLineChars="200"/>
        <w:rPr>
          <w:rFonts w:hint="eastAsia"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4</w:t>
      </w:r>
      <w:r>
        <w:rPr>
          <w:rFonts w:hint="eastAsia" w:ascii="宋体" w:hAnsi="宋体" w:cs="宋体"/>
          <w:sz w:val="24"/>
          <w:szCs w:val="24"/>
          <w:lang w:val="en-GB"/>
        </w:rPr>
        <w:t>）处于被责令停产停业、暂扣或者吊销执照、暂扣或者吊销许可证、吊销资质证书状态。</w:t>
      </w:r>
    </w:p>
    <w:p>
      <w:pPr>
        <w:adjustRightInd w:val="0"/>
        <w:snapToGrid w:val="0"/>
        <w:spacing w:line="360" w:lineRule="auto"/>
        <w:ind w:firstLine="480" w:firstLineChars="200"/>
        <w:rPr>
          <w:rFonts w:hint="eastAsia"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5</w:t>
      </w:r>
      <w:r>
        <w:rPr>
          <w:rFonts w:hint="eastAsia" w:ascii="宋体" w:hAnsi="宋体" w:cs="宋体"/>
          <w:sz w:val="24"/>
          <w:szCs w:val="24"/>
          <w:lang w:val="en-GB"/>
        </w:rPr>
        <w:t>）进入清算程序，或被宣告破产，或其他丧失履约能力情形的。</w:t>
      </w:r>
    </w:p>
    <w:p>
      <w:pPr>
        <w:adjustRightInd w:val="0"/>
        <w:snapToGrid w:val="0"/>
        <w:spacing w:line="360" w:lineRule="auto"/>
        <w:ind w:firstLine="480" w:firstLineChars="200"/>
        <w:rPr>
          <w:rFonts w:hint="eastAsia"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6</w:t>
      </w:r>
      <w:r>
        <w:rPr>
          <w:rFonts w:hint="eastAsia" w:ascii="宋体" w:hAnsi="宋体" w:cs="宋体"/>
          <w:sz w:val="24"/>
          <w:szCs w:val="24"/>
          <w:lang w:val="en-GB"/>
        </w:rPr>
        <w:t>）近三年内因发生质量或安全生产事故等受到行政处罚且在处罚期内的。</w:t>
      </w:r>
    </w:p>
    <w:p>
      <w:pPr>
        <w:adjustRightInd w:val="0"/>
        <w:snapToGrid w:val="0"/>
        <w:spacing w:line="360" w:lineRule="auto"/>
        <w:ind w:firstLine="480" w:firstLineChars="200"/>
        <w:rPr>
          <w:rFonts w:hint="eastAsia"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7</w:t>
      </w:r>
      <w:r>
        <w:rPr>
          <w:rFonts w:hint="eastAsia" w:ascii="宋体" w:hAnsi="宋体" w:cs="宋体"/>
          <w:sz w:val="24"/>
          <w:szCs w:val="24"/>
          <w:lang w:val="en-GB"/>
        </w:rPr>
        <w:t>）被最高人民法院在“信用中国”网站（www.creditchina.gov.cn）或各级信用信息共享平台中列入失信被执行人名单。</w:t>
      </w:r>
    </w:p>
    <w:p>
      <w:pPr>
        <w:pStyle w:val="24"/>
        <w:ind w:firstLine="480" w:firstLineChars="200"/>
        <w:rPr>
          <w:rFonts w:hint="eastAsia" w:cs="宋体" w:eastAsiaTheme="minorEastAsia"/>
          <w:color w:val="auto"/>
          <w:kern w:val="2"/>
          <w:lang w:val="en-GB"/>
        </w:rPr>
      </w:pPr>
      <w:r>
        <w:rPr>
          <w:rFonts w:hint="eastAsia" w:cs="宋体" w:eastAsiaTheme="minorEastAsia"/>
          <w:color w:val="auto"/>
          <w:lang w:val="en-GB"/>
        </w:rPr>
        <w:t>（</w:t>
      </w:r>
      <w:r>
        <w:rPr>
          <w:rFonts w:hint="eastAsia" w:cs="宋体"/>
          <w:color w:val="auto"/>
        </w:rPr>
        <w:t>8</w:t>
      </w:r>
      <w:r>
        <w:rPr>
          <w:rFonts w:hint="eastAsia" w:cs="宋体" w:eastAsiaTheme="minorEastAsia"/>
          <w:color w:val="auto"/>
          <w:lang w:val="en-GB"/>
        </w:rPr>
        <w:t>）</w:t>
      </w:r>
      <w:r>
        <w:rPr>
          <w:rFonts w:hint="eastAsia" w:cs="宋体" w:eastAsiaTheme="minorEastAsia"/>
          <w:color w:val="auto"/>
          <w:kern w:val="2"/>
          <w:lang w:val="en-GB"/>
        </w:rPr>
        <w:t>被“全国企业信用信息公示系统”（网址：http://www.gsxt.gov.cn/）</w:t>
      </w:r>
    </w:p>
    <w:p>
      <w:pPr>
        <w:pStyle w:val="24"/>
        <w:rPr>
          <w:rFonts w:hint="eastAsia" w:cs="宋体" w:eastAsiaTheme="minorEastAsia"/>
          <w:color w:val="auto"/>
          <w:kern w:val="2"/>
          <w:lang w:val="en-GB"/>
        </w:rPr>
      </w:pPr>
      <w:r>
        <w:rPr>
          <w:rFonts w:hint="eastAsia" w:cs="宋体" w:eastAsiaTheme="minorEastAsia"/>
          <w:color w:val="auto"/>
          <w:kern w:val="2"/>
          <w:lang w:val="en-GB"/>
        </w:rPr>
        <w:t>列入经营异常名录和严重违法企业名单。</w:t>
      </w:r>
    </w:p>
    <w:p>
      <w:pPr>
        <w:adjustRightInd w:val="0"/>
        <w:snapToGrid w:val="0"/>
        <w:spacing w:line="360" w:lineRule="auto"/>
        <w:ind w:firstLine="480" w:firstLineChars="200"/>
        <w:rPr>
          <w:rFonts w:hint="eastAsia"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9</w:t>
      </w:r>
      <w:r>
        <w:rPr>
          <w:rFonts w:hint="eastAsia" w:ascii="宋体" w:hAnsi="宋体" w:cs="宋体"/>
          <w:sz w:val="24"/>
          <w:szCs w:val="24"/>
          <w:lang w:val="en-GB"/>
        </w:rPr>
        <w:t>）被“信用广州”网站纳入失信被执行人名单（失信黑名单）。</w:t>
      </w:r>
    </w:p>
    <w:p>
      <w:pPr>
        <w:adjustRightInd w:val="0"/>
        <w:snapToGrid w:val="0"/>
        <w:spacing w:line="360" w:lineRule="auto"/>
        <w:ind w:firstLine="480" w:firstLineChars="200"/>
        <w:rPr>
          <w:rFonts w:hint="eastAsia" w:ascii="宋体" w:hAnsi="宋体" w:cs="宋体"/>
          <w:sz w:val="24"/>
          <w:szCs w:val="24"/>
          <w:lang w:val="en-GB"/>
        </w:rPr>
      </w:pPr>
      <w:r>
        <w:rPr>
          <w:rFonts w:hint="eastAsia" w:ascii="宋体" w:hAnsi="宋体" w:cs="宋体"/>
          <w:sz w:val="24"/>
          <w:szCs w:val="24"/>
          <w:lang w:val="en-GB"/>
        </w:rPr>
        <w:t>（1</w:t>
      </w:r>
      <w:r>
        <w:rPr>
          <w:rFonts w:hint="eastAsia" w:ascii="宋体" w:hAnsi="宋体" w:cs="宋体"/>
          <w:sz w:val="24"/>
          <w:szCs w:val="24"/>
        </w:rPr>
        <w:t>0</w:t>
      </w:r>
      <w:r>
        <w:rPr>
          <w:rFonts w:hint="eastAsia" w:ascii="宋体" w:hAnsi="宋体" w:cs="宋体"/>
          <w:sz w:val="24"/>
          <w:szCs w:val="24"/>
          <w:lang w:val="en-GB"/>
        </w:rPr>
        <w:t>）其他违法违纪行为，经审查认为不宜被邀请参加采购活动的。</w:t>
      </w:r>
    </w:p>
    <w:p>
      <w:pPr>
        <w:adjustRightInd w:val="0"/>
        <w:snapToGrid w:val="0"/>
        <w:spacing w:line="360" w:lineRule="auto"/>
        <w:rPr>
          <w:rFonts w:hint="eastAsia" w:ascii="宋体" w:hAnsi="宋体" w:eastAsia="宋体" w:cs="宋体"/>
          <w:b/>
          <w:szCs w:val="21"/>
        </w:rPr>
      </w:pPr>
    </w:p>
    <w:p>
      <w:pPr>
        <w:adjustRightInd w:val="0"/>
        <w:snapToGrid w:val="0"/>
        <w:spacing w:line="360" w:lineRule="auto"/>
        <w:jc w:val="right"/>
        <w:rPr>
          <w:rFonts w:hint="eastAsia" w:ascii="宋体" w:hAnsi="宋体" w:eastAsia="宋体" w:cs="宋体"/>
          <w:sz w:val="24"/>
          <w:szCs w:val="24"/>
          <w:lang w:val="en-GB"/>
        </w:rPr>
      </w:pPr>
      <w:r>
        <w:rPr>
          <w:rFonts w:hint="eastAsia" w:ascii="宋体" w:hAnsi="宋体" w:eastAsia="宋体" w:cs="宋体"/>
          <w:sz w:val="24"/>
          <w:szCs w:val="24"/>
          <w:lang w:val="en-GB"/>
        </w:rPr>
        <w:t>供应商名称（加盖公章）：</w:t>
      </w:r>
    </w:p>
    <w:p>
      <w:pPr>
        <w:jc w:val="right"/>
      </w:pPr>
      <w:r>
        <w:rPr>
          <w:rFonts w:hint="eastAsia" w:ascii="宋体" w:hAnsi="宋体" w:eastAsia="宋体" w:cs="宋体"/>
          <w:sz w:val="24"/>
          <w:szCs w:val="24"/>
          <w:lang w:val="en-GB"/>
        </w:rPr>
        <w:t>年  月  日</w:t>
      </w:r>
    </w:p>
    <w:p>
      <w:pPr>
        <w:rPr>
          <w:rFonts w:hint="eastAsia" w:cs="Times New Roman" w:asciiTheme="minorEastAsia" w:hAnsiTheme="minorEastAsia"/>
          <w:b/>
          <w:bCs/>
          <w:sz w:val="28"/>
          <w:szCs w:val="28"/>
        </w:rPr>
      </w:pPr>
      <w:r>
        <w:rPr>
          <w:rFonts w:hint="eastAsia" w:cs="Times New Roman" w:asciiTheme="minorEastAsia" w:hAnsiTheme="minorEastAsia"/>
          <w:b/>
          <w:bCs/>
          <w:sz w:val="28"/>
          <w:szCs w:val="28"/>
        </w:rPr>
        <w:br w:type="page"/>
      </w:r>
    </w:p>
    <w:p>
      <w:pPr>
        <w:spacing w:line="360" w:lineRule="auto"/>
        <w:rPr>
          <w:rFonts w:hint="eastAsia" w:ascii="黑体" w:hAnsi="黑体" w:eastAsia="黑体" w:cs="黑体"/>
          <w:b/>
          <w:bCs/>
          <w:sz w:val="32"/>
          <w:szCs w:val="32"/>
        </w:rPr>
      </w:pPr>
      <w:r>
        <w:rPr>
          <w:rFonts w:hint="eastAsia" w:ascii="黑体" w:hAnsi="黑体" w:eastAsia="黑体" w:cs="黑体"/>
          <w:b/>
          <w:bCs/>
          <w:sz w:val="32"/>
          <w:szCs w:val="32"/>
        </w:rPr>
        <w:t>4.拟投入本项目的团队情况表</w:t>
      </w:r>
    </w:p>
    <w:p>
      <w:pPr>
        <w:rPr>
          <w:rFonts w:hint="eastAsia" w:ascii="仿宋" w:hAnsi="仿宋" w:eastAsia="仿宋" w:cs="仿宋_GB2312"/>
          <w:b/>
          <w:sz w:val="28"/>
          <w:szCs w:val="28"/>
        </w:rPr>
      </w:pPr>
      <w:r>
        <w:rPr>
          <w:rFonts w:hint="eastAsia" w:ascii="仿宋" w:hAnsi="仿宋" w:eastAsia="仿宋" w:cs="仿宋_GB2312"/>
          <w:b/>
          <w:sz w:val="28"/>
          <w:szCs w:val="28"/>
        </w:rPr>
        <w:t>4.1拟投入本项目的项目负责人情况表</w:t>
      </w:r>
    </w:p>
    <w:p>
      <w:pPr>
        <w:jc w:val="center"/>
        <w:rPr>
          <w:rFonts w:hint="eastAsia" w:ascii="仿宋" w:hAnsi="仿宋" w:eastAsia="仿宋" w:cs="仿宋_GB2312"/>
          <w:b/>
          <w:sz w:val="28"/>
          <w:szCs w:val="28"/>
        </w:rPr>
      </w:pPr>
      <w:r>
        <w:rPr>
          <w:rFonts w:hint="eastAsia" w:ascii="仿宋" w:hAnsi="仿宋" w:eastAsia="仿宋" w:cs="仿宋_GB2312"/>
          <w:b/>
          <w:sz w:val="28"/>
          <w:szCs w:val="28"/>
        </w:rPr>
        <w:t>拟投入本项目的项目负责人情况表</w:t>
      </w:r>
    </w:p>
    <w:tbl>
      <w:tblPr>
        <w:tblStyle w:val="25"/>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1" w:type="dxa"/>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姓名</w:t>
            </w:r>
          </w:p>
        </w:tc>
        <w:tc>
          <w:tcPr>
            <w:tcW w:w="1497" w:type="dxa"/>
            <w:gridSpan w:val="2"/>
            <w:vAlign w:val="center"/>
          </w:tcPr>
          <w:p>
            <w:pPr>
              <w:jc w:val="center"/>
              <w:rPr>
                <w:rFonts w:hint="eastAsia" w:ascii="仿宋" w:hAnsi="仿宋" w:eastAsia="仿宋" w:cs="仿宋_GB2312"/>
                <w:b/>
                <w:sz w:val="28"/>
                <w:szCs w:val="28"/>
              </w:rPr>
            </w:pPr>
          </w:p>
        </w:tc>
        <w:tc>
          <w:tcPr>
            <w:tcW w:w="161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出生年月</w:t>
            </w:r>
          </w:p>
        </w:tc>
        <w:tc>
          <w:tcPr>
            <w:tcW w:w="1337" w:type="dxa"/>
            <w:gridSpan w:val="2"/>
            <w:vAlign w:val="center"/>
          </w:tcPr>
          <w:p>
            <w:pPr>
              <w:jc w:val="center"/>
              <w:rPr>
                <w:rFonts w:hint="eastAsia" w:ascii="仿宋" w:hAnsi="仿宋" w:eastAsia="仿宋" w:cs="仿宋_GB2312"/>
                <w:b/>
                <w:sz w:val="28"/>
                <w:szCs w:val="28"/>
              </w:rPr>
            </w:pPr>
          </w:p>
        </w:tc>
        <w:tc>
          <w:tcPr>
            <w:tcW w:w="2198"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学历</w:t>
            </w:r>
          </w:p>
        </w:tc>
        <w:tc>
          <w:tcPr>
            <w:tcW w:w="1119" w:type="dxa"/>
            <w:vAlign w:val="center"/>
          </w:tcPr>
          <w:p>
            <w:pPr>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1" w:type="dxa"/>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职称</w:t>
            </w:r>
          </w:p>
        </w:tc>
        <w:tc>
          <w:tcPr>
            <w:tcW w:w="1497" w:type="dxa"/>
            <w:gridSpan w:val="2"/>
            <w:vAlign w:val="center"/>
          </w:tcPr>
          <w:p>
            <w:pPr>
              <w:spacing w:line="360" w:lineRule="exact"/>
              <w:jc w:val="center"/>
              <w:rPr>
                <w:rFonts w:hint="eastAsia" w:ascii="仿宋" w:hAnsi="仿宋" w:eastAsia="仿宋" w:cs="仿宋_GB2312"/>
                <w:b/>
                <w:sz w:val="28"/>
                <w:szCs w:val="28"/>
              </w:rPr>
            </w:pPr>
          </w:p>
        </w:tc>
        <w:tc>
          <w:tcPr>
            <w:tcW w:w="1613" w:type="dxa"/>
            <w:gridSpan w:val="2"/>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职务</w:t>
            </w:r>
          </w:p>
        </w:tc>
        <w:tc>
          <w:tcPr>
            <w:tcW w:w="1337" w:type="dxa"/>
            <w:gridSpan w:val="2"/>
            <w:vAlign w:val="center"/>
          </w:tcPr>
          <w:p>
            <w:pPr>
              <w:spacing w:line="360" w:lineRule="exact"/>
              <w:jc w:val="center"/>
              <w:rPr>
                <w:rFonts w:hint="eastAsia" w:ascii="仿宋" w:hAnsi="仿宋" w:eastAsia="仿宋" w:cs="仿宋_GB2312"/>
                <w:b/>
                <w:sz w:val="28"/>
                <w:szCs w:val="28"/>
              </w:rPr>
            </w:pPr>
          </w:p>
        </w:tc>
        <w:tc>
          <w:tcPr>
            <w:tcW w:w="2198" w:type="dxa"/>
            <w:gridSpan w:val="2"/>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从事本工作时间</w:t>
            </w:r>
          </w:p>
        </w:tc>
        <w:tc>
          <w:tcPr>
            <w:tcW w:w="1119" w:type="dxa"/>
            <w:vAlign w:val="center"/>
          </w:tcPr>
          <w:p>
            <w:pPr>
              <w:spacing w:line="360" w:lineRule="exact"/>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1" w:type="dxa"/>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毕业院校</w:t>
            </w:r>
          </w:p>
        </w:tc>
        <w:tc>
          <w:tcPr>
            <w:tcW w:w="1497" w:type="dxa"/>
            <w:gridSpan w:val="2"/>
            <w:vAlign w:val="center"/>
          </w:tcPr>
          <w:p>
            <w:pPr>
              <w:spacing w:line="360" w:lineRule="exact"/>
              <w:jc w:val="center"/>
              <w:rPr>
                <w:rFonts w:hint="eastAsia" w:ascii="仿宋" w:hAnsi="仿宋" w:eastAsia="仿宋" w:cs="仿宋_GB2312"/>
                <w:b/>
                <w:sz w:val="28"/>
                <w:szCs w:val="28"/>
              </w:rPr>
            </w:pPr>
          </w:p>
        </w:tc>
        <w:tc>
          <w:tcPr>
            <w:tcW w:w="1613" w:type="dxa"/>
            <w:gridSpan w:val="2"/>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毕业时间</w:t>
            </w:r>
          </w:p>
        </w:tc>
        <w:tc>
          <w:tcPr>
            <w:tcW w:w="1337" w:type="dxa"/>
            <w:gridSpan w:val="2"/>
            <w:vAlign w:val="center"/>
          </w:tcPr>
          <w:p>
            <w:pPr>
              <w:spacing w:line="360" w:lineRule="exact"/>
              <w:jc w:val="center"/>
              <w:rPr>
                <w:rFonts w:hint="eastAsia" w:ascii="仿宋" w:hAnsi="仿宋" w:eastAsia="仿宋" w:cs="仿宋_GB2312"/>
                <w:b/>
                <w:sz w:val="28"/>
                <w:szCs w:val="28"/>
              </w:rPr>
            </w:pPr>
          </w:p>
        </w:tc>
        <w:tc>
          <w:tcPr>
            <w:tcW w:w="2198" w:type="dxa"/>
            <w:gridSpan w:val="2"/>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专业</w:t>
            </w:r>
          </w:p>
        </w:tc>
        <w:tc>
          <w:tcPr>
            <w:tcW w:w="1119" w:type="dxa"/>
            <w:vAlign w:val="center"/>
          </w:tcPr>
          <w:p>
            <w:pPr>
              <w:spacing w:line="360" w:lineRule="exact"/>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58" w:type="dxa"/>
            <w:gridSpan w:val="3"/>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注册证书等级</w:t>
            </w:r>
          </w:p>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和专业</w:t>
            </w:r>
          </w:p>
        </w:tc>
        <w:tc>
          <w:tcPr>
            <w:tcW w:w="2950" w:type="dxa"/>
            <w:gridSpan w:val="4"/>
            <w:vAlign w:val="center"/>
          </w:tcPr>
          <w:p>
            <w:pPr>
              <w:spacing w:line="360" w:lineRule="exact"/>
              <w:jc w:val="center"/>
              <w:rPr>
                <w:rFonts w:hint="eastAsia" w:ascii="仿宋" w:hAnsi="仿宋" w:eastAsia="仿宋" w:cs="仿宋_GB2312"/>
                <w:b/>
                <w:sz w:val="28"/>
                <w:szCs w:val="28"/>
              </w:rPr>
            </w:pPr>
          </w:p>
        </w:tc>
        <w:tc>
          <w:tcPr>
            <w:tcW w:w="2198" w:type="dxa"/>
            <w:gridSpan w:val="2"/>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证书编号</w:t>
            </w:r>
          </w:p>
        </w:tc>
        <w:tc>
          <w:tcPr>
            <w:tcW w:w="1119" w:type="dxa"/>
            <w:vAlign w:val="center"/>
          </w:tcPr>
          <w:p>
            <w:pPr>
              <w:spacing w:line="360" w:lineRule="exact"/>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58" w:type="dxa"/>
            <w:gridSpan w:val="3"/>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职称证专业</w:t>
            </w:r>
          </w:p>
        </w:tc>
        <w:tc>
          <w:tcPr>
            <w:tcW w:w="2950" w:type="dxa"/>
            <w:gridSpan w:val="4"/>
            <w:vAlign w:val="center"/>
          </w:tcPr>
          <w:p>
            <w:pPr>
              <w:jc w:val="center"/>
              <w:rPr>
                <w:rFonts w:hint="eastAsia" w:ascii="仿宋" w:hAnsi="仿宋" w:eastAsia="仿宋" w:cs="仿宋_GB2312"/>
                <w:b/>
                <w:sz w:val="28"/>
                <w:szCs w:val="28"/>
              </w:rPr>
            </w:pPr>
          </w:p>
        </w:tc>
        <w:tc>
          <w:tcPr>
            <w:tcW w:w="2198"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证书编号</w:t>
            </w:r>
          </w:p>
        </w:tc>
        <w:tc>
          <w:tcPr>
            <w:tcW w:w="1119" w:type="dxa"/>
            <w:vAlign w:val="center"/>
          </w:tcPr>
          <w:p>
            <w:pPr>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25" w:type="dxa"/>
            <w:gridSpan w:val="10"/>
          </w:tcPr>
          <w:p>
            <w:pPr>
              <w:jc w:val="center"/>
              <w:rPr>
                <w:rFonts w:hint="eastAsia" w:ascii="仿宋" w:hAnsi="仿宋" w:eastAsia="仿宋" w:cs="仿宋_GB2312"/>
                <w:b/>
                <w:sz w:val="28"/>
                <w:szCs w:val="28"/>
              </w:rPr>
            </w:pPr>
            <w:r>
              <w:rPr>
                <w:rFonts w:hint="eastAsia" w:ascii="仿宋" w:hAnsi="仿宋" w:eastAsia="仿宋" w:cs="仿宋_GB2312"/>
                <w:b/>
                <w:sz w:val="28"/>
                <w:szCs w:val="28"/>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项目名称</w:t>
            </w:r>
          </w:p>
        </w:tc>
        <w:tc>
          <w:tcPr>
            <w:tcW w:w="199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合同金额</w:t>
            </w:r>
          </w:p>
        </w:tc>
        <w:tc>
          <w:tcPr>
            <w:tcW w:w="199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开、竣工时间</w:t>
            </w:r>
          </w:p>
        </w:tc>
        <w:tc>
          <w:tcPr>
            <w:tcW w:w="199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担任职务</w:t>
            </w:r>
          </w:p>
        </w:tc>
        <w:tc>
          <w:tcPr>
            <w:tcW w:w="145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453" w:type="dxa"/>
            <w:gridSpan w:val="2"/>
          </w:tcPr>
          <w:p>
            <w:pPr>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453" w:type="dxa"/>
            <w:gridSpan w:val="2"/>
          </w:tcPr>
          <w:p>
            <w:pPr>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453" w:type="dxa"/>
            <w:gridSpan w:val="2"/>
          </w:tcPr>
          <w:p>
            <w:pPr>
              <w:jc w:val="center"/>
              <w:rPr>
                <w:rFonts w:hint="eastAsia" w:ascii="仿宋" w:hAnsi="仿宋" w:eastAsia="仿宋" w:cs="仿宋_GB2312"/>
                <w:b/>
                <w:sz w:val="28"/>
                <w:szCs w:val="28"/>
              </w:rPr>
            </w:pPr>
          </w:p>
        </w:tc>
      </w:tr>
    </w:tbl>
    <w:p>
      <w:pPr>
        <w:pStyle w:val="24"/>
        <w:rPr>
          <w:rFonts w:hint="eastAsia" w:ascii="仿宋_GB2312" w:eastAsia="仿宋_GB2312" w:hAnsiTheme="minorEastAsia"/>
          <w:color w:val="auto"/>
          <w:sz w:val="28"/>
          <w:szCs w:val="28"/>
        </w:rPr>
      </w:pPr>
    </w:p>
    <w:p>
      <w:pPr>
        <w:pStyle w:val="24"/>
        <w:rPr>
          <w:rFonts w:hint="eastAsia" w:ascii="仿宋_GB2312" w:eastAsia="仿宋_GB2312" w:hAnsiTheme="minorEastAsia"/>
          <w:color w:val="auto"/>
          <w:sz w:val="28"/>
          <w:szCs w:val="28"/>
        </w:rPr>
      </w:pPr>
    </w:p>
    <w:p>
      <w:pPr>
        <w:adjustRightInd w:val="0"/>
        <w:snapToGrid w:val="0"/>
        <w:spacing w:line="360" w:lineRule="auto"/>
        <w:jc w:val="right"/>
        <w:rPr>
          <w:rFonts w:hint="eastAsia" w:ascii="宋体" w:hAnsi="宋体" w:eastAsia="宋体" w:cs="宋体"/>
          <w:sz w:val="24"/>
          <w:szCs w:val="24"/>
          <w:lang w:val="en-GB"/>
        </w:rPr>
      </w:pPr>
      <w:r>
        <w:rPr>
          <w:rFonts w:hint="eastAsia" w:ascii="宋体" w:hAnsi="宋体" w:eastAsia="宋体" w:cs="宋体"/>
          <w:sz w:val="24"/>
          <w:szCs w:val="24"/>
          <w:lang w:val="en-GB"/>
        </w:rPr>
        <w:t xml:space="preserve">供应商名称（加盖公章）： </w:t>
      </w:r>
    </w:p>
    <w:p>
      <w:pPr>
        <w:adjustRightInd w:val="0"/>
        <w:snapToGrid w:val="0"/>
        <w:spacing w:line="360" w:lineRule="auto"/>
        <w:jc w:val="right"/>
        <w:rPr>
          <w:rFonts w:hint="eastAsia" w:ascii="宋体" w:hAnsi="宋体" w:eastAsia="宋体" w:cs="宋体"/>
          <w:sz w:val="24"/>
          <w:szCs w:val="24"/>
          <w:lang w:val="en-GB"/>
        </w:rPr>
      </w:pPr>
      <w:r>
        <w:rPr>
          <w:rFonts w:hint="eastAsia" w:ascii="宋体" w:hAnsi="宋体" w:eastAsia="宋体" w:cs="宋体"/>
          <w:sz w:val="24"/>
          <w:szCs w:val="24"/>
          <w:lang w:val="en-GB"/>
        </w:rPr>
        <w:t>年  月  日</w:t>
      </w:r>
    </w:p>
    <w:p>
      <w:pPr>
        <w:pStyle w:val="15"/>
        <w:rPr>
          <w:lang w:val="en-GB"/>
        </w:rPr>
      </w:pPr>
    </w:p>
    <w:p>
      <w:pPr>
        <w:pStyle w:val="15"/>
        <w:rPr>
          <w:lang w:val="en-GB"/>
        </w:rPr>
      </w:pPr>
    </w:p>
    <w:p>
      <w:pPr>
        <w:rPr>
          <w:rFonts w:hint="eastAsia" w:ascii="仿宋" w:hAnsi="仿宋" w:eastAsia="仿宋" w:cs="仿宋_GB2312"/>
          <w:b/>
          <w:sz w:val="28"/>
          <w:szCs w:val="28"/>
        </w:rPr>
      </w:pPr>
      <w:r>
        <w:rPr>
          <w:rFonts w:hint="eastAsia" w:ascii="仿宋" w:hAnsi="仿宋" w:eastAsia="仿宋" w:cs="仿宋_GB2312"/>
          <w:b/>
          <w:sz w:val="28"/>
          <w:szCs w:val="28"/>
        </w:rPr>
        <w:t>4.2拟投入本项目的技术负责人情况表</w:t>
      </w:r>
    </w:p>
    <w:p>
      <w:pPr>
        <w:jc w:val="center"/>
        <w:rPr>
          <w:rFonts w:hint="eastAsia" w:ascii="仿宋" w:hAnsi="仿宋" w:eastAsia="仿宋" w:cs="仿宋_GB2312"/>
          <w:b/>
          <w:sz w:val="28"/>
          <w:szCs w:val="28"/>
        </w:rPr>
      </w:pPr>
      <w:r>
        <w:rPr>
          <w:rFonts w:hint="eastAsia" w:ascii="仿宋" w:hAnsi="仿宋" w:eastAsia="仿宋" w:cs="仿宋_GB2312"/>
          <w:b/>
          <w:sz w:val="28"/>
          <w:szCs w:val="28"/>
        </w:rPr>
        <w:t>拟投入本项目的技术负责人情况表</w:t>
      </w:r>
    </w:p>
    <w:tbl>
      <w:tblPr>
        <w:tblStyle w:val="25"/>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1" w:type="dxa"/>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姓名</w:t>
            </w:r>
          </w:p>
        </w:tc>
        <w:tc>
          <w:tcPr>
            <w:tcW w:w="1497" w:type="dxa"/>
            <w:gridSpan w:val="2"/>
            <w:vAlign w:val="center"/>
          </w:tcPr>
          <w:p>
            <w:pPr>
              <w:jc w:val="center"/>
              <w:rPr>
                <w:rFonts w:hint="eastAsia" w:ascii="仿宋" w:hAnsi="仿宋" w:eastAsia="仿宋" w:cs="仿宋_GB2312"/>
                <w:b/>
                <w:sz w:val="28"/>
                <w:szCs w:val="28"/>
              </w:rPr>
            </w:pPr>
          </w:p>
        </w:tc>
        <w:tc>
          <w:tcPr>
            <w:tcW w:w="161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出生年月</w:t>
            </w:r>
          </w:p>
        </w:tc>
        <w:tc>
          <w:tcPr>
            <w:tcW w:w="1337" w:type="dxa"/>
            <w:gridSpan w:val="2"/>
            <w:vAlign w:val="center"/>
          </w:tcPr>
          <w:p>
            <w:pPr>
              <w:jc w:val="center"/>
              <w:rPr>
                <w:rFonts w:hint="eastAsia" w:ascii="仿宋" w:hAnsi="仿宋" w:eastAsia="仿宋" w:cs="仿宋_GB2312"/>
                <w:b/>
                <w:sz w:val="28"/>
                <w:szCs w:val="28"/>
              </w:rPr>
            </w:pPr>
          </w:p>
        </w:tc>
        <w:tc>
          <w:tcPr>
            <w:tcW w:w="2198"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学历</w:t>
            </w:r>
          </w:p>
        </w:tc>
        <w:tc>
          <w:tcPr>
            <w:tcW w:w="1119" w:type="dxa"/>
            <w:vAlign w:val="center"/>
          </w:tcPr>
          <w:p>
            <w:pPr>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1" w:type="dxa"/>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职称</w:t>
            </w:r>
          </w:p>
        </w:tc>
        <w:tc>
          <w:tcPr>
            <w:tcW w:w="1497" w:type="dxa"/>
            <w:gridSpan w:val="2"/>
            <w:vAlign w:val="center"/>
          </w:tcPr>
          <w:p>
            <w:pPr>
              <w:spacing w:line="360" w:lineRule="exact"/>
              <w:jc w:val="center"/>
              <w:rPr>
                <w:rFonts w:hint="eastAsia" w:ascii="仿宋" w:hAnsi="仿宋" w:eastAsia="仿宋" w:cs="仿宋_GB2312"/>
                <w:b/>
                <w:sz w:val="28"/>
                <w:szCs w:val="28"/>
              </w:rPr>
            </w:pPr>
          </w:p>
        </w:tc>
        <w:tc>
          <w:tcPr>
            <w:tcW w:w="1613" w:type="dxa"/>
            <w:gridSpan w:val="2"/>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职务</w:t>
            </w:r>
          </w:p>
        </w:tc>
        <w:tc>
          <w:tcPr>
            <w:tcW w:w="1337" w:type="dxa"/>
            <w:gridSpan w:val="2"/>
            <w:vAlign w:val="center"/>
          </w:tcPr>
          <w:p>
            <w:pPr>
              <w:spacing w:line="360" w:lineRule="exact"/>
              <w:jc w:val="center"/>
              <w:rPr>
                <w:rFonts w:hint="eastAsia" w:ascii="仿宋" w:hAnsi="仿宋" w:eastAsia="仿宋" w:cs="仿宋_GB2312"/>
                <w:b/>
                <w:sz w:val="28"/>
                <w:szCs w:val="28"/>
              </w:rPr>
            </w:pPr>
          </w:p>
        </w:tc>
        <w:tc>
          <w:tcPr>
            <w:tcW w:w="2198" w:type="dxa"/>
            <w:gridSpan w:val="2"/>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从事本工作时间</w:t>
            </w:r>
          </w:p>
        </w:tc>
        <w:tc>
          <w:tcPr>
            <w:tcW w:w="1119" w:type="dxa"/>
            <w:vAlign w:val="center"/>
          </w:tcPr>
          <w:p>
            <w:pPr>
              <w:spacing w:line="360" w:lineRule="exact"/>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661" w:type="dxa"/>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毕业院校</w:t>
            </w:r>
          </w:p>
        </w:tc>
        <w:tc>
          <w:tcPr>
            <w:tcW w:w="1497" w:type="dxa"/>
            <w:gridSpan w:val="2"/>
            <w:vAlign w:val="center"/>
          </w:tcPr>
          <w:p>
            <w:pPr>
              <w:spacing w:line="360" w:lineRule="exact"/>
              <w:jc w:val="center"/>
              <w:rPr>
                <w:rFonts w:hint="eastAsia" w:ascii="仿宋" w:hAnsi="仿宋" w:eastAsia="仿宋" w:cs="仿宋_GB2312"/>
                <w:b/>
                <w:sz w:val="28"/>
                <w:szCs w:val="28"/>
              </w:rPr>
            </w:pPr>
          </w:p>
        </w:tc>
        <w:tc>
          <w:tcPr>
            <w:tcW w:w="1613" w:type="dxa"/>
            <w:gridSpan w:val="2"/>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毕业时间</w:t>
            </w:r>
          </w:p>
        </w:tc>
        <w:tc>
          <w:tcPr>
            <w:tcW w:w="1337" w:type="dxa"/>
            <w:gridSpan w:val="2"/>
            <w:vAlign w:val="center"/>
          </w:tcPr>
          <w:p>
            <w:pPr>
              <w:spacing w:line="360" w:lineRule="exact"/>
              <w:jc w:val="center"/>
              <w:rPr>
                <w:rFonts w:hint="eastAsia" w:ascii="仿宋" w:hAnsi="仿宋" w:eastAsia="仿宋" w:cs="仿宋_GB2312"/>
                <w:b/>
                <w:sz w:val="28"/>
                <w:szCs w:val="28"/>
              </w:rPr>
            </w:pPr>
          </w:p>
        </w:tc>
        <w:tc>
          <w:tcPr>
            <w:tcW w:w="2198" w:type="dxa"/>
            <w:gridSpan w:val="2"/>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专业</w:t>
            </w:r>
          </w:p>
        </w:tc>
        <w:tc>
          <w:tcPr>
            <w:tcW w:w="1119" w:type="dxa"/>
            <w:vAlign w:val="center"/>
          </w:tcPr>
          <w:p>
            <w:pPr>
              <w:spacing w:line="360" w:lineRule="exact"/>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58" w:type="dxa"/>
            <w:gridSpan w:val="3"/>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注册证书等级</w:t>
            </w:r>
          </w:p>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和专业</w:t>
            </w:r>
          </w:p>
        </w:tc>
        <w:tc>
          <w:tcPr>
            <w:tcW w:w="2950" w:type="dxa"/>
            <w:gridSpan w:val="4"/>
            <w:vAlign w:val="center"/>
          </w:tcPr>
          <w:p>
            <w:pPr>
              <w:spacing w:line="360" w:lineRule="exact"/>
              <w:jc w:val="center"/>
              <w:rPr>
                <w:rFonts w:hint="eastAsia" w:ascii="仿宋" w:hAnsi="仿宋" w:eastAsia="仿宋" w:cs="仿宋_GB2312"/>
                <w:b/>
                <w:sz w:val="28"/>
                <w:szCs w:val="28"/>
              </w:rPr>
            </w:pPr>
          </w:p>
        </w:tc>
        <w:tc>
          <w:tcPr>
            <w:tcW w:w="2198" w:type="dxa"/>
            <w:gridSpan w:val="2"/>
            <w:vAlign w:val="center"/>
          </w:tcPr>
          <w:p>
            <w:pPr>
              <w:spacing w:line="360" w:lineRule="exact"/>
              <w:jc w:val="center"/>
              <w:rPr>
                <w:rFonts w:hint="eastAsia" w:ascii="仿宋" w:hAnsi="仿宋" w:eastAsia="仿宋" w:cs="仿宋_GB2312"/>
                <w:b/>
                <w:sz w:val="28"/>
                <w:szCs w:val="28"/>
              </w:rPr>
            </w:pPr>
            <w:r>
              <w:rPr>
                <w:rFonts w:hint="eastAsia" w:ascii="仿宋" w:hAnsi="仿宋" w:eastAsia="仿宋" w:cs="仿宋_GB2312"/>
                <w:b/>
                <w:sz w:val="28"/>
                <w:szCs w:val="28"/>
              </w:rPr>
              <w:t>证书编号</w:t>
            </w:r>
          </w:p>
        </w:tc>
        <w:tc>
          <w:tcPr>
            <w:tcW w:w="1119" w:type="dxa"/>
            <w:vAlign w:val="center"/>
          </w:tcPr>
          <w:p>
            <w:pPr>
              <w:spacing w:line="360" w:lineRule="exact"/>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158" w:type="dxa"/>
            <w:gridSpan w:val="3"/>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职称证专业</w:t>
            </w:r>
          </w:p>
        </w:tc>
        <w:tc>
          <w:tcPr>
            <w:tcW w:w="2950" w:type="dxa"/>
            <w:gridSpan w:val="4"/>
            <w:vAlign w:val="center"/>
          </w:tcPr>
          <w:p>
            <w:pPr>
              <w:jc w:val="center"/>
              <w:rPr>
                <w:rFonts w:hint="eastAsia" w:ascii="仿宋" w:hAnsi="仿宋" w:eastAsia="仿宋" w:cs="仿宋_GB2312"/>
                <w:b/>
                <w:sz w:val="28"/>
                <w:szCs w:val="28"/>
              </w:rPr>
            </w:pPr>
          </w:p>
        </w:tc>
        <w:tc>
          <w:tcPr>
            <w:tcW w:w="2198"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证书编号</w:t>
            </w:r>
          </w:p>
        </w:tc>
        <w:tc>
          <w:tcPr>
            <w:tcW w:w="1119" w:type="dxa"/>
            <w:vAlign w:val="center"/>
          </w:tcPr>
          <w:p>
            <w:pPr>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25" w:type="dxa"/>
            <w:gridSpan w:val="10"/>
          </w:tcPr>
          <w:p>
            <w:pPr>
              <w:jc w:val="center"/>
              <w:rPr>
                <w:rFonts w:hint="eastAsia" w:ascii="仿宋" w:hAnsi="仿宋" w:eastAsia="仿宋" w:cs="仿宋_GB2312"/>
                <w:b/>
                <w:sz w:val="28"/>
                <w:szCs w:val="28"/>
              </w:rPr>
            </w:pPr>
            <w:r>
              <w:rPr>
                <w:rFonts w:hint="eastAsia" w:ascii="仿宋" w:hAnsi="仿宋" w:eastAsia="仿宋" w:cs="仿宋_GB2312"/>
                <w:b/>
                <w:sz w:val="28"/>
                <w:szCs w:val="28"/>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项目名称</w:t>
            </w:r>
          </w:p>
        </w:tc>
        <w:tc>
          <w:tcPr>
            <w:tcW w:w="199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合同金额</w:t>
            </w:r>
          </w:p>
        </w:tc>
        <w:tc>
          <w:tcPr>
            <w:tcW w:w="199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开、竣工时间</w:t>
            </w:r>
          </w:p>
        </w:tc>
        <w:tc>
          <w:tcPr>
            <w:tcW w:w="199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担任职务</w:t>
            </w:r>
          </w:p>
        </w:tc>
        <w:tc>
          <w:tcPr>
            <w:tcW w:w="1453" w:type="dxa"/>
            <w:gridSpan w:val="2"/>
            <w:vAlign w:val="center"/>
          </w:tcPr>
          <w:p>
            <w:pPr>
              <w:jc w:val="center"/>
              <w:rPr>
                <w:rFonts w:hint="eastAsia" w:ascii="仿宋" w:hAnsi="仿宋" w:eastAsia="仿宋" w:cs="仿宋_GB2312"/>
                <w:b/>
                <w:sz w:val="28"/>
                <w:szCs w:val="28"/>
              </w:rPr>
            </w:pPr>
            <w:r>
              <w:rPr>
                <w:rFonts w:hint="eastAsia" w:ascii="仿宋" w:hAnsi="仿宋" w:eastAsia="仿宋" w:cs="仿宋_GB2312"/>
                <w:b/>
                <w:sz w:val="28"/>
                <w:szCs w:val="28"/>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453" w:type="dxa"/>
            <w:gridSpan w:val="2"/>
          </w:tcPr>
          <w:p>
            <w:pPr>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453" w:type="dxa"/>
            <w:gridSpan w:val="2"/>
          </w:tcPr>
          <w:p>
            <w:pPr>
              <w:jc w:val="center"/>
              <w:rPr>
                <w:rFonts w:hint="eastAsia"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993" w:type="dxa"/>
            <w:gridSpan w:val="2"/>
          </w:tcPr>
          <w:p>
            <w:pPr>
              <w:jc w:val="center"/>
              <w:rPr>
                <w:rFonts w:hint="eastAsia" w:ascii="仿宋" w:hAnsi="仿宋" w:eastAsia="仿宋" w:cs="仿宋_GB2312"/>
                <w:b/>
                <w:sz w:val="28"/>
                <w:szCs w:val="28"/>
              </w:rPr>
            </w:pPr>
          </w:p>
        </w:tc>
        <w:tc>
          <w:tcPr>
            <w:tcW w:w="1453" w:type="dxa"/>
            <w:gridSpan w:val="2"/>
          </w:tcPr>
          <w:p>
            <w:pPr>
              <w:jc w:val="center"/>
              <w:rPr>
                <w:rFonts w:hint="eastAsia" w:ascii="仿宋" w:hAnsi="仿宋" w:eastAsia="仿宋" w:cs="仿宋_GB2312"/>
                <w:b/>
                <w:sz w:val="28"/>
                <w:szCs w:val="28"/>
              </w:rPr>
            </w:pPr>
          </w:p>
        </w:tc>
      </w:tr>
    </w:tbl>
    <w:p>
      <w:pPr>
        <w:pStyle w:val="24"/>
        <w:rPr>
          <w:rFonts w:hint="eastAsia" w:ascii="仿宋_GB2312" w:eastAsia="仿宋_GB2312" w:hAnsiTheme="minorEastAsia"/>
          <w:color w:val="auto"/>
          <w:sz w:val="28"/>
          <w:szCs w:val="28"/>
        </w:rPr>
      </w:pPr>
    </w:p>
    <w:p>
      <w:pPr>
        <w:pStyle w:val="24"/>
        <w:rPr>
          <w:rFonts w:hint="eastAsia" w:ascii="仿宋_GB2312" w:eastAsia="仿宋_GB2312" w:hAnsiTheme="minorEastAsia"/>
          <w:color w:val="auto"/>
          <w:sz w:val="28"/>
          <w:szCs w:val="28"/>
        </w:rPr>
      </w:pPr>
    </w:p>
    <w:p>
      <w:pPr>
        <w:adjustRightInd w:val="0"/>
        <w:snapToGrid w:val="0"/>
        <w:spacing w:line="360" w:lineRule="auto"/>
        <w:jc w:val="right"/>
        <w:rPr>
          <w:rFonts w:hint="eastAsia" w:ascii="宋体" w:hAnsi="宋体" w:eastAsia="宋体" w:cs="宋体"/>
          <w:sz w:val="24"/>
          <w:szCs w:val="24"/>
          <w:lang w:val="en-GB"/>
        </w:rPr>
      </w:pPr>
      <w:r>
        <w:rPr>
          <w:rFonts w:hint="eastAsia" w:ascii="宋体" w:hAnsi="宋体" w:eastAsia="宋体" w:cs="宋体"/>
          <w:sz w:val="24"/>
          <w:szCs w:val="24"/>
          <w:lang w:val="en-GB"/>
        </w:rPr>
        <w:t xml:space="preserve">供应商名称（加盖公章）： </w:t>
      </w:r>
    </w:p>
    <w:p>
      <w:pPr>
        <w:adjustRightInd w:val="0"/>
        <w:snapToGrid w:val="0"/>
        <w:spacing w:line="360" w:lineRule="auto"/>
        <w:jc w:val="right"/>
        <w:rPr>
          <w:rFonts w:hint="eastAsia" w:ascii="宋体" w:hAnsi="宋体" w:eastAsia="宋体" w:cs="宋体"/>
          <w:sz w:val="24"/>
          <w:szCs w:val="24"/>
          <w:lang w:val="en-GB"/>
        </w:rPr>
      </w:pPr>
      <w:r>
        <w:rPr>
          <w:rFonts w:hint="eastAsia" w:ascii="宋体" w:hAnsi="宋体" w:eastAsia="宋体" w:cs="宋体"/>
          <w:sz w:val="24"/>
          <w:szCs w:val="24"/>
          <w:lang w:val="en-GB"/>
        </w:rPr>
        <w:t>年  月  日</w:t>
      </w:r>
    </w:p>
    <w:p>
      <w:pPr>
        <w:pStyle w:val="15"/>
        <w:rPr>
          <w:lang w:val="en-GB"/>
        </w:rPr>
      </w:pPr>
    </w:p>
    <w:p>
      <w:pPr>
        <w:rPr>
          <w:rFonts w:hint="eastAsia" w:ascii="仿宋_GB2312" w:eastAsia="仿宋_GB2312" w:hAnsiTheme="minorEastAsia"/>
          <w:sz w:val="28"/>
          <w:szCs w:val="28"/>
        </w:rPr>
      </w:pPr>
      <w:r>
        <w:rPr>
          <w:rFonts w:ascii="仿宋_GB2312" w:eastAsia="仿宋_GB2312" w:hAnsiTheme="minorEastAsia"/>
          <w:sz w:val="28"/>
          <w:szCs w:val="28"/>
        </w:rPr>
        <w:br w:type="page"/>
      </w:r>
    </w:p>
    <w:p>
      <w:pPr>
        <w:rPr>
          <w:rFonts w:hint="eastAsia" w:ascii="仿宋" w:hAnsi="仿宋" w:eastAsia="仿宋" w:cs="仿宋_GB2312"/>
          <w:b/>
          <w:sz w:val="28"/>
          <w:szCs w:val="28"/>
        </w:rPr>
      </w:pPr>
      <w:bookmarkStart w:id="117" w:name="_Toc32430"/>
      <w:bookmarkStart w:id="118" w:name="_Toc19423"/>
      <w:r>
        <w:rPr>
          <w:rFonts w:hint="eastAsia" w:ascii="仿宋" w:hAnsi="仿宋" w:eastAsia="仿宋" w:cs="仿宋_GB2312"/>
          <w:b/>
          <w:sz w:val="28"/>
          <w:szCs w:val="28"/>
        </w:rPr>
        <w:t>4.3拟投入本项目的工程人员配备响应表</w:t>
      </w:r>
    </w:p>
    <w:p>
      <w:pPr>
        <w:jc w:val="center"/>
        <w:rPr>
          <w:rFonts w:hint="eastAsia" w:ascii="仿宋" w:hAnsi="仿宋" w:eastAsia="仿宋" w:cs="仿宋_GB2312"/>
          <w:b/>
          <w:sz w:val="28"/>
          <w:szCs w:val="28"/>
        </w:rPr>
      </w:pPr>
      <w:r>
        <w:rPr>
          <w:rFonts w:hint="eastAsia" w:ascii="仿宋" w:hAnsi="仿宋" w:eastAsia="仿宋" w:cs="仿宋_GB2312"/>
          <w:b/>
          <w:sz w:val="28"/>
          <w:szCs w:val="28"/>
        </w:rPr>
        <w:t>拟投入工程人员配备响应表</w:t>
      </w:r>
    </w:p>
    <w:tbl>
      <w:tblPr>
        <w:tblStyle w:val="25"/>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982"/>
        <w:gridCol w:w="907"/>
        <w:gridCol w:w="2225"/>
        <w:gridCol w:w="2093"/>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r>
              <w:rPr>
                <w:rFonts w:hint="eastAsia" w:ascii="宋体" w:hAnsi="宋体" w:eastAsia="宋体" w:cs="宋体"/>
                <w:sz w:val="18"/>
                <w:szCs w:val="18"/>
              </w:rPr>
              <w:t>岗位</w:t>
            </w:r>
          </w:p>
        </w:tc>
        <w:tc>
          <w:tcPr>
            <w:tcW w:w="9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r>
              <w:rPr>
                <w:rFonts w:hint="eastAsia" w:ascii="宋体" w:hAnsi="宋体" w:eastAsia="宋体" w:cs="宋体"/>
                <w:sz w:val="18"/>
                <w:szCs w:val="18"/>
              </w:rPr>
              <w:t>姓名</w:t>
            </w: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r>
              <w:rPr>
                <w:rFonts w:hint="eastAsia" w:ascii="宋体" w:hAnsi="宋体" w:eastAsia="宋体" w:cs="宋体"/>
                <w:sz w:val="18"/>
                <w:szCs w:val="18"/>
              </w:rPr>
              <w:t>性别</w:t>
            </w:r>
          </w:p>
        </w:tc>
        <w:tc>
          <w:tcPr>
            <w:tcW w:w="22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r>
              <w:rPr>
                <w:rFonts w:hint="eastAsia" w:ascii="宋体" w:hAnsi="宋体" w:eastAsia="宋体" w:cs="宋体"/>
                <w:sz w:val="18"/>
                <w:szCs w:val="18"/>
              </w:rPr>
              <w:t>身份证号</w:t>
            </w:r>
          </w:p>
        </w:tc>
        <w:tc>
          <w:tcPr>
            <w:tcW w:w="20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r>
              <w:rPr>
                <w:rFonts w:hint="eastAsia" w:ascii="宋体" w:hAnsi="宋体" w:eastAsia="宋体" w:cs="宋体"/>
                <w:sz w:val="18"/>
                <w:szCs w:val="18"/>
              </w:rPr>
              <w:t>执业或职业资格证明</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r>
              <w:rPr>
                <w:rFonts w:hint="eastAsia" w:ascii="宋体" w:hAnsi="宋体" w:eastAsia="宋体" w:cs="宋体"/>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2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0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2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0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2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0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2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0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2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0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2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0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2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0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8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9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2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20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Times New Roman"/>
                <w:sz w:val="18"/>
                <w:szCs w:val="18"/>
              </w:rPr>
            </w:pPr>
          </w:p>
        </w:tc>
      </w:tr>
    </w:tbl>
    <w:p>
      <w:pPr>
        <w:rPr>
          <w:rFonts w:hint="eastAsia" w:ascii="仿宋_GB2312" w:eastAsia="仿宋_GB2312" w:hAnsiTheme="minorEastAsia"/>
          <w:sz w:val="28"/>
          <w:szCs w:val="28"/>
        </w:rPr>
      </w:pPr>
    </w:p>
    <w:p>
      <w:pPr>
        <w:rPr>
          <w:rFonts w:hint="eastAsia" w:ascii="仿宋_GB2312" w:eastAsia="仿宋_GB2312" w:hAnsiTheme="minorEastAsia"/>
          <w:sz w:val="28"/>
          <w:szCs w:val="28"/>
        </w:rPr>
      </w:pPr>
      <w:r>
        <w:rPr>
          <w:rFonts w:hint="eastAsia" w:ascii="仿宋_GB2312" w:eastAsia="仿宋_GB2312" w:hAnsiTheme="minorEastAsia"/>
          <w:sz w:val="28"/>
          <w:szCs w:val="28"/>
        </w:rPr>
        <w:br w:type="page"/>
      </w:r>
    </w:p>
    <w:p>
      <w:pPr>
        <w:numPr>
          <w:ilvl w:val="0"/>
          <w:numId w:val="7"/>
        </w:numPr>
        <w:spacing w:line="360" w:lineRule="auto"/>
        <w:rPr>
          <w:sz w:val="32"/>
          <w:szCs w:val="32"/>
        </w:rPr>
      </w:pPr>
      <w:r>
        <w:rPr>
          <w:rFonts w:hint="eastAsia" w:ascii="黑体" w:hAnsi="黑体" w:eastAsia="黑体" w:cs="黑体"/>
          <w:b/>
          <w:bCs/>
          <w:sz w:val="32"/>
          <w:szCs w:val="32"/>
        </w:rPr>
        <w:t>报价表</w:t>
      </w:r>
      <w:bookmarkEnd w:id="117"/>
      <w:bookmarkEnd w:id="118"/>
      <w:r>
        <w:rPr>
          <w:rFonts w:hint="eastAsia"/>
          <w:sz w:val="32"/>
          <w:szCs w:val="32"/>
        </w:rPr>
        <w:t xml:space="preserve">   </w:t>
      </w:r>
    </w:p>
    <w:tbl>
      <w:tblPr>
        <w:tblStyle w:val="25"/>
        <w:tblW w:w="11445" w:type="dxa"/>
        <w:tblInd w:w="-133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5"/>
        <w:gridCol w:w="731"/>
        <w:gridCol w:w="1017"/>
        <w:gridCol w:w="6847"/>
        <w:gridCol w:w="343"/>
        <w:gridCol w:w="364"/>
        <w:gridCol w:w="853"/>
        <w:gridCol w:w="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75" w:type="dxa"/>
            <w:tcBorders>
              <w:top w:val="single" w:color="auto" w:sz="12"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序号</w:t>
            </w:r>
          </w:p>
        </w:tc>
        <w:tc>
          <w:tcPr>
            <w:tcW w:w="731"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名称</w:t>
            </w:r>
          </w:p>
        </w:tc>
        <w:tc>
          <w:tcPr>
            <w:tcW w:w="1017"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lang w:val="en-US"/>
              </w:rPr>
            </w:pPr>
            <w:r>
              <w:rPr>
                <w:rFonts w:hint="eastAsia" w:ascii="仿宋_GB2312" w:hAnsi="仿宋_GB2312" w:eastAsia="仿宋_GB2312" w:cs="仿宋_GB2312"/>
                <w:b/>
                <w:bCs/>
                <w:i w:val="0"/>
                <w:iCs w:val="0"/>
                <w:color w:val="000000"/>
                <w:kern w:val="0"/>
                <w:sz w:val="20"/>
                <w:szCs w:val="20"/>
                <w:u w:val="none"/>
                <w:lang w:val="en-US" w:eastAsia="zh-CN" w:bidi="ar"/>
              </w:rPr>
              <w:t>项目名称描述</w:t>
            </w:r>
          </w:p>
        </w:tc>
        <w:tc>
          <w:tcPr>
            <w:tcW w:w="6847"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主要功能参数</w:t>
            </w:r>
          </w:p>
        </w:tc>
        <w:tc>
          <w:tcPr>
            <w:tcW w:w="343"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数量</w:t>
            </w:r>
          </w:p>
        </w:tc>
        <w:tc>
          <w:tcPr>
            <w:tcW w:w="364"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sz w:val="20"/>
                <w:szCs w:val="20"/>
                <w:u w:val="none"/>
              </w:rPr>
            </w:pPr>
            <w:r>
              <w:rPr>
                <w:rFonts w:hint="eastAsia" w:ascii="仿宋_GB2312" w:hAnsi="仿宋_GB2312" w:eastAsia="仿宋_GB2312" w:cs="仿宋_GB2312"/>
                <w:b/>
                <w:bCs/>
                <w:i w:val="0"/>
                <w:iCs w:val="0"/>
                <w:color w:val="000000"/>
                <w:kern w:val="0"/>
                <w:sz w:val="20"/>
                <w:szCs w:val="20"/>
                <w:u w:val="none"/>
                <w:lang w:val="en-US" w:eastAsia="zh-CN" w:bidi="ar"/>
              </w:rPr>
              <w:t>单位</w:t>
            </w:r>
          </w:p>
        </w:tc>
        <w:tc>
          <w:tcPr>
            <w:tcW w:w="853"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不含税单价（元）</w:t>
            </w:r>
          </w:p>
        </w:tc>
        <w:tc>
          <w:tcPr>
            <w:tcW w:w="915" w:type="dxa"/>
            <w:tcBorders>
              <w:top w:val="single" w:color="auto" w:sz="12"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b/>
                <w:bCs/>
                <w:i w:val="0"/>
                <w:iCs w:val="0"/>
                <w:color w:val="000000"/>
                <w:kern w:val="0"/>
                <w:sz w:val="20"/>
                <w:szCs w:val="20"/>
                <w:u w:val="none"/>
                <w:lang w:val="en-US" w:eastAsia="zh-CN" w:bidi="ar"/>
              </w:rPr>
            </w:pPr>
            <w:r>
              <w:rPr>
                <w:rFonts w:hint="eastAsia" w:ascii="仿宋_GB2312" w:hAnsi="仿宋_GB2312" w:eastAsia="仿宋_GB2312" w:cs="仿宋_GB2312"/>
                <w:b/>
                <w:bCs/>
                <w:i w:val="0"/>
                <w:iCs w:val="0"/>
                <w:color w:val="000000"/>
                <w:kern w:val="0"/>
                <w:sz w:val="20"/>
                <w:szCs w:val="20"/>
                <w:u w:val="none"/>
                <w:lang w:val="en-US" w:eastAsia="zh-CN" w:bidi="ar"/>
              </w:rPr>
              <w:t>不含税总价（元）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445" w:type="dxa"/>
            <w:gridSpan w:val="8"/>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1.重点车辆入场管理（</w:t>
            </w:r>
            <w:r>
              <w:rPr>
                <w:rFonts w:hint="eastAsia" w:ascii="仿宋_GB2312" w:hAnsi="仿宋_GB2312" w:eastAsia="仿宋_GB2312" w:cs="仿宋_GB2312"/>
                <w:lang w:val="en-US" w:eastAsia="zh-CN"/>
              </w:rPr>
              <w:t>整个厂区车辆入场管理部分</w:t>
            </w:r>
            <w:r>
              <w:rPr>
                <w:rFonts w:hint="eastAsia" w:ascii="仿宋_GB2312" w:hAnsi="仿宋_GB2312" w:eastAsia="仿宋_GB2312" w:cs="仿宋_GB2312"/>
                <w:b/>
                <w:bCs/>
                <w:i w:val="0"/>
                <w:iCs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5" w:hRule="exact"/>
        </w:trPr>
        <w:tc>
          <w:tcPr>
            <w:tcW w:w="375" w:type="dxa"/>
            <w:tcBorders>
              <w:top w:val="single" w:color="auto" w:sz="4" w:space="0"/>
              <w:left w:val="single" w:color="auto" w:sz="12"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1</w:t>
            </w:r>
          </w:p>
        </w:tc>
        <w:tc>
          <w:tcPr>
            <w:tcW w:w="731"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kern w:val="0"/>
                <w:sz w:val="16"/>
                <w:szCs w:val="16"/>
                <w:u w:val="none"/>
                <w:lang w:val="en-US" w:eastAsia="zh-CN" w:bidi="ar"/>
              </w:rPr>
              <w:t>车型识别系统-低位版</w:t>
            </w:r>
          </w:p>
        </w:tc>
        <w:tc>
          <w:tcPr>
            <w:tcW w:w="1017"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000000"/>
                <w:kern w:val="0"/>
                <w:sz w:val="16"/>
                <w:szCs w:val="16"/>
                <w:u w:val="none"/>
                <w:lang w:val="en-US" w:eastAsia="zh-CN" w:bidi="ar"/>
              </w:rPr>
              <w:t>车型识别系统-低位版设备</w:t>
            </w:r>
          </w:p>
        </w:tc>
        <w:tc>
          <w:tcPr>
            <w:tcW w:w="6847"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由300万像素车头抓拍、300万像素车尾抓拍、车身扫描摄像机组成；根据JTT-2019行业标准要求，采用深度学习图像识别技术，自动识别客运车辆、货运车辆、专项作业车辆，并根据车长、座位数、轴数等将其识别分类车型识别：识别以下车型：客1、客2、客3、客4、货1、货2、货3、货4、货5、货6。</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参数：1）车身摄像机:200万像素1/2.8英寸星光级CMOS传感器,1.5mm镜头；</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2）车头车尾相机：300万像素1/2.8英寸星光级CMOS传感器，6mm镜头；</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3）有效像素:根据实际车辆拼接图像而定</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4) 最低照度:≤0.01LUX彩色</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5) 网络协议：支持多种网络协议</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6) 视频帧率:120fps@ H.264</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7) 视频压缩标准:H.264 High Profile</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 xml:space="preserve">8）输出码率：64kbps~12Mbps </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9）码流：1080P；10）功耗：≤180W；11）供电：AC100~240V，50~60Hz</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12）工作温度：-40~+60℃；13）防护等级：IP66</w:t>
            </w:r>
            <w:r>
              <w:rPr>
                <w:rFonts w:hint="eastAsia" w:ascii="仿宋_GB2312" w:hAnsi="仿宋_GB2312" w:eastAsia="仿宋_GB2312" w:cs="仿宋_GB2312"/>
                <w:i w:val="0"/>
                <w:iCs w:val="0"/>
                <w:color w:val="auto"/>
                <w:kern w:val="0"/>
                <w:sz w:val="16"/>
                <w:szCs w:val="16"/>
                <w:u w:val="none"/>
                <w:lang w:val="en-US" w:eastAsia="zh-CN" w:bidi="ar"/>
              </w:rPr>
              <w:br w:type="textWrapping"/>
            </w:r>
          </w:p>
        </w:tc>
        <w:tc>
          <w:tcPr>
            <w:tcW w:w="34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364"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c>
          <w:tcPr>
            <w:tcW w:w="85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445" w:type="dxa"/>
            <w:gridSpan w:val="8"/>
            <w:tcBorders>
              <w:top w:val="single" w:color="auto" w:sz="12" w:space="0"/>
              <w:left w:val="single" w:color="auto" w:sz="12"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2.生产区域重点车辆安全管理（</w:t>
            </w:r>
            <w:r>
              <w:rPr>
                <w:rFonts w:hint="eastAsia" w:ascii="仿宋_GB2312" w:hAnsi="仿宋_GB2312" w:eastAsia="仿宋_GB2312" w:cs="仿宋_GB2312"/>
                <w:lang w:val="en-US" w:eastAsia="zh-CN"/>
              </w:rPr>
              <w:t>地下生产区域车辆安全管理部分</w:t>
            </w:r>
            <w:r>
              <w:rPr>
                <w:rFonts w:hint="eastAsia" w:ascii="仿宋_GB2312" w:hAnsi="仿宋_GB2312" w:eastAsia="仿宋_GB2312" w:cs="仿宋_GB2312"/>
                <w:b/>
                <w:bCs/>
                <w:i w:val="0"/>
                <w:iCs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8" w:hRule="exact"/>
        </w:trPr>
        <w:tc>
          <w:tcPr>
            <w:tcW w:w="375" w:type="dxa"/>
            <w:tcBorders>
              <w:top w:val="nil"/>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1</w:t>
            </w:r>
          </w:p>
        </w:tc>
        <w:tc>
          <w:tcPr>
            <w:tcW w:w="731"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000000"/>
                <w:sz w:val="16"/>
                <w:szCs w:val="16"/>
                <w:u w:val="none"/>
              </w:rPr>
            </w:pPr>
            <w:r>
              <w:rPr>
                <w:rFonts w:hint="eastAsia" w:ascii="仿宋_GB2312" w:hAnsi="仿宋_GB2312" w:eastAsia="仿宋_GB2312" w:cs="仿宋_GB2312"/>
                <w:b/>
                <w:bCs/>
                <w:i w:val="0"/>
                <w:iCs w:val="0"/>
                <w:color w:val="000000"/>
                <w:kern w:val="0"/>
                <w:sz w:val="16"/>
                <w:szCs w:val="16"/>
                <w:u w:val="none"/>
                <w:lang w:val="en-US" w:eastAsia="zh-CN" w:bidi="ar"/>
              </w:rPr>
              <w:t>大车限速管控一体机</w:t>
            </w:r>
          </w:p>
        </w:tc>
        <w:tc>
          <w:tcPr>
            <w:tcW w:w="1017"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000000"/>
                <w:kern w:val="0"/>
                <w:sz w:val="16"/>
                <w:szCs w:val="16"/>
                <w:u w:val="none"/>
                <w:lang w:val="en-US" w:eastAsia="zh-CN" w:bidi="ar"/>
              </w:rPr>
              <w:t>大车限速管控一体机设备</w:t>
            </w:r>
          </w:p>
        </w:tc>
        <w:tc>
          <w:tcPr>
            <w:tcW w:w="6847" w:type="dxa"/>
            <w:tcBorders>
              <w:top w:val="nil"/>
              <w:left w:val="nil"/>
              <w:bottom w:val="single" w:color="auto" w:sz="4" w:space="0"/>
              <w:right w:val="single" w:color="auto" w:sz="4" w:space="0"/>
            </w:tcBorders>
            <w:shd w:val="clear" w:color="000000" w:fill="FFFFFF"/>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auto"/>
                <w:sz w:val="16"/>
                <w:szCs w:val="16"/>
                <w:u w:val="none"/>
              </w:rPr>
            </w:pPr>
            <w:r>
              <w:rPr>
                <w:rStyle w:val="61"/>
                <w:rFonts w:hint="eastAsia" w:ascii="仿宋_GB2312" w:hAnsi="仿宋_GB2312" w:eastAsia="仿宋_GB2312" w:cs="仿宋_GB2312"/>
                <w:b/>
                <w:bCs/>
                <w:color w:val="000000" w:themeColor="text1"/>
                <w:sz w:val="16"/>
                <w:szCs w:val="16"/>
                <w:lang w:val="en-US" w:eastAsia="zh-CN" w:bidi="ar"/>
                <w14:textFill>
                  <w14:solidFill>
                    <w14:schemeClr w14:val="tx1"/>
                  </w14:solidFill>
                </w14:textFill>
              </w:rPr>
              <w:t>显示进入负一层生产区域急转弯下坡区域车辆的下坡速度、播报来车语音提醒车辆及维修室维护人员。</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模组尺寸：320mm*160mm</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模组分辨率：104X52</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显示颜色：≥43980亿种</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最佳视距：≥3M</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可视角度：水平：≥140°垂直≥140°</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亮度调节：256级软件调节，10级自动调节</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换帧频率：≥60HZ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刷新频率：≥1920HZ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控制方式：支持有线、WiFl、3G/4G云播放</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视频信号：NTSC</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屏体寿命：≥100,000小时.</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连续工作时间：＞72小时</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平均无故障时间：＞1,000小时</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屏体重量：≤30KG/㎡</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★有线网络：不少于1 个千兆光口，支持环网、VLAN；不少于1个千兆网口，支持POE++</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 xml:space="preserve">接口：包括单不限1 路 RS485 </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工作温度： -20~65℃</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★广播：功率：30W</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输入电压：~220V  50Hz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频响：80-16KHz</w:t>
            </w:r>
            <w:r>
              <w:rPr>
                <w:rStyle w:val="62"/>
                <w:rFonts w:hint="eastAsia" w:ascii="仿宋_GB2312" w:hAnsi="仿宋_GB2312" w:eastAsia="仿宋_GB2312" w:cs="仿宋_GB2312"/>
                <w:sz w:val="16"/>
                <w:szCs w:val="16"/>
                <w:lang w:val="en-US" w:eastAsia="zh-CN" w:bidi="ar"/>
              </w:rPr>
              <w:br w:type="textWrapping"/>
            </w:r>
            <w:r>
              <w:rPr>
                <w:rStyle w:val="62"/>
                <w:rFonts w:hint="eastAsia" w:ascii="仿宋_GB2312" w:hAnsi="仿宋_GB2312" w:eastAsia="仿宋_GB2312" w:cs="仿宋_GB2312"/>
                <w:sz w:val="16"/>
                <w:szCs w:val="16"/>
                <w:lang w:val="en-US" w:eastAsia="zh-CN" w:bidi="ar"/>
              </w:rPr>
              <w:t>防护等级：IP66</w:t>
            </w:r>
          </w:p>
        </w:tc>
        <w:tc>
          <w:tcPr>
            <w:tcW w:w="343"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364"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c>
          <w:tcPr>
            <w:tcW w:w="853"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c>
          <w:tcPr>
            <w:tcW w:w="915" w:type="dxa"/>
            <w:tcBorders>
              <w:top w:val="nil"/>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10" w:hRule="atLeast"/>
        </w:trPr>
        <w:tc>
          <w:tcPr>
            <w:tcW w:w="375"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2</w:t>
            </w:r>
          </w:p>
        </w:tc>
        <w:tc>
          <w:tcPr>
            <w:tcW w:w="731"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单目轻型雷视一体机</w:t>
            </w:r>
          </w:p>
        </w:tc>
        <w:tc>
          <w:tcPr>
            <w:tcW w:w="1017"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auto"/>
                <w:kern w:val="0"/>
                <w:sz w:val="16"/>
                <w:szCs w:val="16"/>
                <w:u w:val="none"/>
                <w:lang w:val="en-US" w:eastAsia="zh-CN" w:bidi="ar"/>
              </w:rPr>
              <w:t>单目轻型雷视一体机设备</w:t>
            </w:r>
          </w:p>
        </w:tc>
        <w:tc>
          <w:tcPr>
            <w:tcW w:w="6847" w:type="dxa"/>
            <w:tcBorders>
              <w:top w:val="single" w:color="auto" w:sz="4" w:space="0"/>
              <w:left w:val="nil"/>
              <w:bottom w:val="single" w:color="auto" w:sz="4" w:space="0"/>
              <w:right w:val="single" w:color="auto" w:sz="4" w:space="0"/>
            </w:tcBorders>
            <w:shd w:val="clear" w:color="000000" w:fill="FFFFFF"/>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支持智能识别车辆类型，包括大货车，小货车，中货车，工程车，混凝土泵车，重型运输车，渣土车，消防车，清扫车，排污车，垃圾运输车，油罐车，水泥车，泥头车</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传感器类型 1/1.8 英寸 CMOS</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光圈 F1.0</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低照度 0.001Lux</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内存 2G Byte DDR4</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储存 8G Byte eMMC</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快门方式 电子快门</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电子快门 1/30s～1/30000s（可手动或自动调节）</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曝光模式 自动/手动</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像分辨率 2688×1520（不包含 OSD 黑边）</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视频分辨率 2K（2688×1520）/1080P（1920×1080），视频帧率 主码流（3840×2160@25fps）</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，视频码率 H.264：视频压缩标准 H.264，视场角 H：43.1°；V：24.7°；D：50.1°</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图片编码格式 JPEG</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宽动态 &gt;100dB</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白平衡 自动；手动</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降噪 2D/3D 降噪</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日夜转换 支持 ICR 切换（可选）</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补光灯 4 颗（暖光灯），补光灯色温 3250K，补光灯亮度调节，亮度可调节</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扩展模块 内置 24G 毫米波雷达</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雷达发射频率 24GHz</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测速范围 0～+200km/h</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测速精度 ±0.5km/h</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测量误差 ±0.4m</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网络接口 1 个 RJ-45 以太网口，支持 10/100/1000M 网络数据传输</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RS-485接口 1 个，连接常亮灯等</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供电方式 AC100V～AC240V（50Hz）</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功耗 ≤12W</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工作温度 -30℃~+75℃</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储存温度 -40℃~+65℃</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工作湿度 10%～90%RH（无凝结）</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储存湿度 10%～90%RH（无凝结）</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产品尺寸 376mm×139mm×164.7mm（长×宽×高）</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安装方式 万向节安装</w:t>
            </w:r>
            <w:r>
              <w:rPr>
                <w:rFonts w:hint="eastAsia" w:ascii="仿宋_GB2312" w:hAnsi="仿宋_GB2312" w:eastAsia="仿宋_GB2312" w:cs="仿宋_GB2312"/>
                <w:i w:val="0"/>
                <w:iCs w:val="0"/>
                <w:color w:val="auto"/>
                <w:kern w:val="0"/>
                <w:sz w:val="16"/>
                <w:szCs w:val="16"/>
                <w:u w:val="none"/>
                <w:lang w:val="en-US" w:eastAsia="zh-CN" w:bidi="ar"/>
              </w:rPr>
              <w:br w:type="textWrapping"/>
            </w:r>
            <w:r>
              <w:rPr>
                <w:rFonts w:hint="eastAsia" w:ascii="仿宋_GB2312" w:hAnsi="仿宋_GB2312" w:eastAsia="仿宋_GB2312" w:cs="仿宋_GB2312"/>
                <w:i w:val="0"/>
                <w:iCs w:val="0"/>
                <w:color w:val="auto"/>
                <w:kern w:val="0"/>
                <w:sz w:val="16"/>
                <w:szCs w:val="16"/>
                <w:u w:val="none"/>
                <w:lang w:val="en-US" w:eastAsia="zh-CN" w:bidi="ar"/>
              </w:rPr>
              <w:t>镜头 标配10mm</w:t>
            </w:r>
          </w:p>
        </w:tc>
        <w:tc>
          <w:tcPr>
            <w:tcW w:w="34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36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c>
          <w:tcPr>
            <w:tcW w:w="853"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c>
          <w:tcPr>
            <w:tcW w:w="91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5" w:hRule="exact"/>
        </w:trPr>
        <w:tc>
          <w:tcPr>
            <w:tcW w:w="375"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3</w:t>
            </w:r>
          </w:p>
        </w:tc>
        <w:tc>
          <w:tcPr>
            <w:tcW w:w="731"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雷达测速仪</w:t>
            </w:r>
          </w:p>
        </w:tc>
        <w:tc>
          <w:tcPr>
            <w:tcW w:w="1017"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lang w:val="en-US"/>
              </w:rPr>
            </w:pPr>
            <w:r>
              <w:rPr>
                <w:rFonts w:hint="eastAsia" w:ascii="仿宋_GB2312" w:hAnsi="仿宋_GB2312" w:eastAsia="仿宋_GB2312" w:cs="仿宋_GB2312"/>
                <w:b/>
                <w:bCs/>
                <w:i w:val="0"/>
                <w:iCs w:val="0"/>
                <w:color w:val="auto"/>
                <w:kern w:val="0"/>
                <w:sz w:val="16"/>
                <w:szCs w:val="16"/>
                <w:u w:val="none"/>
                <w:lang w:val="en-US" w:eastAsia="zh-CN" w:bidi="ar"/>
              </w:rPr>
              <w:t>雷达测速仪设备</w:t>
            </w:r>
          </w:p>
        </w:tc>
        <w:tc>
          <w:tcPr>
            <w:tcW w:w="6847" w:type="dxa"/>
            <w:tcBorders>
              <w:top w:val="single" w:color="auto" w:sz="4" w:space="0"/>
              <w:left w:val="nil"/>
              <w:bottom w:val="single" w:color="auto" w:sz="4" w:space="0"/>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kern w:val="0"/>
                <w:sz w:val="16"/>
                <w:szCs w:val="16"/>
                <w:u w:val="none"/>
                <w:lang w:val="en-US" w:eastAsia="zh-CN" w:bidi="ar"/>
              </w:rPr>
              <w:t>生产区内限速设备</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外形尺寸：1100*600*90mm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显示屏：数码管、红绿双色显示区域450*390mm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外壳材质：镀锌钢板+喷塑户外交通黄</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防水等级：IP53</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工作温度：-40-+70°C</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工作电压：AC220V</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可视距离：&gt;100-250米</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工作触发：精确反馈型毫米波雷达</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速度控制：无线遥控5-99Km/h</w:t>
            </w:r>
          </w:p>
        </w:tc>
        <w:tc>
          <w:tcPr>
            <w:tcW w:w="34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364"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c>
          <w:tcPr>
            <w:tcW w:w="853"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c>
          <w:tcPr>
            <w:tcW w:w="91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445" w:type="dxa"/>
            <w:gridSpan w:val="8"/>
            <w:tcBorders>
              <w:top w:val="single" w:color="auto" w:sz="12" w:space="0"/>
              <w:left w:val="single" w:color="auto" w:sz="12"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b/>
                <w:bCs/>
                <w:i w:val="0"/>
                <w:iCs w:val="0"/>
                <w:color w:val="auto"/>
                <w:kern w:val="0"/>
                <w:sz w:val="24"/>
                <w:szCs w:val="24"/>
                <w:u w:val="none"/>
                <w:lang w:val="en-US" w:eastAsia="zh-CN" w:bidi="ar"/>
              </w:rPr>
            </w:pPr>
            <w:r>
              <w:rPr>
                <w:rFonts w:hint="eastAsia" w:ascii="仿宋_GB2312" w:hAnsi="仿宋_GB2312" w:eastAsia="仿宋_GB2312" w:cs="仿宋_GB2312"/>
                <w:b/>
                <w:bCs/>
                <w:i w:val="0"/>
                <w:iCs w:val="0"/>
                <w:color w:val="auto"/>
                <w:kern w:val="0"/>
                <w:sz w:val="24"/>
                <w:szCs w:val="24"/>
                <w:u w:val="none"/>
                <w:lang w:val="en-US" w:eastAsia="zh-CN" w:bidi="ar"/>
              </w:rPr>
              <w:t>3.卸药区重点车辆安全管理（</w:t>
            </w:r>
            <w:r>
              <w:rPr>
                <w:rFonts w:hint="eastAsia" w:ascii="仿宋_GB2312" w:hAnsi="仿宋_GB2312" w:eastAsia="仿宋_GB2312" w:cs="仿宋_GB2312"/>
                <w:lang w:val="en-US" w:eastAsia="zh-CN"/>
              </w:rPr>
              <w:t>地面卸药区车辆安全管理部分</w:t>
            </w:r>
            <w:r>
              <w:rPr>
                <w:rFonts w:hint="eastAsia" w:ascii="仿宋_GB2312" w:hAnsi="仿宋_GB2312" w:eastAsia="仿宋_GB2312" w:cs="仿宋_GB2312"/>
                <w:b/>
                <w:bCs/>
                <w:i w:val="0"/>
                <w:iCs w:val="0"/>
                <w:color w:val="auto"/>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7" w:hRule="exact"/>
        </w:trPr>
        <w:tc>
          <w:tcPr>
            <w:tcW w:w="375" w:type="dxa"/>
            <w:tcBorders>
              <w:top w:val="nil"/>
              <w:left w:val="single" w:color="auto" w:sz="12" w:space="0"/>
              <w:bottom w:val="nil"/>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1</w:t>
            </w:r>
          </w:p>
        </w:tc>
        <w:tc>
          <w:tcPr>
            <w:tcW w:w="731" w:type="dxa"/>
            <w:tcBorders>
              <w:top w:val="nil"/>
              <w:left w:val="nil"/>
              <w:bottom w:val="nil"/>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雷达测速仪</w:t>
            </w:r>
          </w:p>
        </w:tc>
        <w:tc>
          <w:tcPr>
            <w:tcW w:w="1017" w:type="dxa"/>
            <w:tcBorders>
              <w:top w:val="nil"/>
              <w:left w:val="nil"/>
              <w:bottom w:val="nil"/>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b/>
                <w:bCs/>
                <w:i w:val="0"/>
                <w:iCs w:val="0"/>
                <w:color w:val="auto"/>
                <w:sz w:val="16"/>
                <w:szCs w:val="16"/>
                <w:u w:val="none"/>
              </w:rPr>
            </w:pPr>
            <w:r>
              <w:rPr>
                <w:rFonts w:hint="eastAsia" w:ascii="仿宋_GB2312" w:hAnsi="仿宋_GB2312" w:eastAsia="仿宋_GB2312" w:cs="仿宋_GB2312"/>
                <w:b/>
                <w:bCs/>
                <w:i w:val="0"/>
                <w:iCs w:val="0"/>
                <w:color w:val="auto"/>
                <w:kern w:val="0"/>
                <w:sz w:val="16"/>
                <w:szCs w:val="16"/>
                <w:u w:val="none"/>
                <w:lang w:val="en-US" w:eastAsia="zh-CN" w:bidi="ar"/>
              </w:rPr>
              <w:t>ZSZT-CSY-01</w:t>
            </w:r>
          </w:p>
        </w:tc>
        <w:tc>
          <w:tcPr>
            <w:tcW w:w="6847" w:type="dxa"/>
            <w:tcBorders>
              <w:top w:val="nil"/>
              <w:left w:val="nil"/>
              <w:bottom w:val="nil"/>
              <w:right w:val="single" w:color="auto"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top"/>
              <w:rPr>
                <w:rFonts w:hint="eastAsia" w:ascii="仿宋_GB2312" w:hAnsi="仿宋_GB2312" w:eastAsia="仿宋_GB2312" w:cs="仿宋_GB2312"/>
                <w:i w:val="0"/>
                <w:iCs w:val="0"/>
                <w:color w:val="000000"/>
                <w:sz w:val="16"/>
                <w:szCs w:val="16"/>
                <w:u w:val="none"/>
              </w:rPr>
            </w:pPr>
            <w:r>
              <w:rPr>
                <w:rFonts w:hint="eastAsia" w:ascii="仿宋_GB2312" w:hAnsi="仿宋_GB2312" w:eastAsia="仿宋_GB2312" w:cs="仿宋_GB2312"/>
                <w:i w:val="0"/>
                <w:iCs w:val="0"/>
                <w:color w:val="000000"/>
                <w:kern w:val="0"/>
                <w:sz w:val="16"/>
                <w:szCs w:val="16"/>
                <w:u w:val="none"/>
                <w:lang w:val="en-US" w:eastAsia="zh-CN" w:bidi="ar"/>
              </w:rPr>
              <w:t>生产区内限速设备</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外形尺寸：1100*600*90mm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显示屏：数码管、红绿双色显示区域450*390mm</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外壳材质：镀锌钢板+喷塑户外交通黄</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防水等级：IP53</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工作温度：-40-+70°C</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工作电压：AC220V</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可视距离：&gt;100-250米</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工作触发：精确反馈型毫米波雷达</w:t>
            </w:r>
            <w:r>
              <w:rPr>
                <w:rFonts w:hint="eastAsia" w:ascii="仿宋_GB2312" w:hAnsi="仿宋_GB2312" w:eastAsia="仿宋_GB2312" w:cs="仿宋_GB2312"/>
                <w:i w:val="0"/>
                <w:iCs w:val="0"/>
                <w:color w:val="000000"/>
                <w:kern w:val="0"/>
                <w:sz w:val="16"/>
                <w:szCs w:val="16"/>
                <w:u w:val="none"/>
                <w:lang w:val="en-US" w:eastAsia="zh-CN" w:bidi="ar"/>
              </w:rPr>
              <w:br w:type="textWrapping"/>
            </w:r>
            <w:r>
              <w:rPr>
                <w:rFonts w:hint="eastAsia" w:ascii="仿宋_GB2312" w:hAnsi="仿宋_GB2312" w:eastAsia="仿宋_GB2312" w:cs="仿宋_GB2312"/>
                <w:i w:val="0"/>
                <w:iCs w:val="0"/>
                <w:color w:val="000000"/>
                <w:kern w:val="0"/>
                <w:sz w:val="16"/>
                <w:szCs w:val="16"/>
                <w:u w:val="none"/>
                <w:lang w:val="en-US" w:eastAsia="zh-CN" w:bidi="ar"/>
              </w:rPr>
              <w:t>速度控制：无线遥控5-99Km/h</w:t>
            </w:r>
          </w:p>
        </w:tc>
        <w:tc>
          <w:tcPr>
            <w:tcW w:w="343" w:type="dxa"/>
            <w:tcBorders>
              <w:top w:val="nil"/>
              <w:left w:val="nil"/>
              <w:bottom w:val="nil"/>
              <w:right w:val="single" w:color="auto" w:sz="4" w:space="0"/>
            </w:tcBorders>
            <w:shd w:val="clear" w:color="000000" w:fill="FFFFFF"/>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auto"/>
                <w:sz w:val="16"/>
                <w:szCs w:val="16"/>
                <w:u w:val="none"/>
              </w:rPr>
            </w:pPr>
            <w:r>
              <w:rPr>
                <w:rFonts w:hint="eastAsia" w:ascii="仿宋_GB2312" w:hAnsi="仿宋_GB2312" w:eastAsia="仿宋_GB2312" w:cs="仿宋_GB2312"/>
                <w:i w:val="0"/>
                <w:iCs w:val="0"/>
                <w:color w:val="auto"/>
                <w:kern w:val="0"/>
                <w:sz w:val="16"/>
                <w:szCs w:val="16"/>
                <w:u w:val="none"/>
                <w:lang w:val="en-US" w:eastAsia="zh-CN" w:bidi="ar"/>
              </w:rPr>
              <w:t>1</w:t>
            </w:r>
          </w:p>
        </w:tc>
        <w:tc>
          <w:tcPr>
            <w:tcW w:w="364" w:type="dxa"/>
            <w:tcBorders>
              <w:top w:val="nil"/>
              <w:left w:val="nil"/>
              <w:bottom w:val="nil"/>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FF0000"/>
                <w:sz w:val="16"/>
                <w:szCs w:val="16"/>
                <w:u w:val="none"/>
              </w:rPr>
            </w:pPr>
            <w: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t>台</w:t>
            </w:r>
          </w:p>
        </w:tc>
        <w:tc>
          <w:tcPr>
            <w:tcW w:w="853" w:type="dxa"/>
            <w:tcBorders>
              <w:top w:val="nil"/>
              <w:left w:val="nil"/>
              <w:bottom w:val="nil"/>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c>
          <w:tcPr>
            <w:tcW w:w="915" w:type="dxa"/>
            <w:tcBorders>
              <w:top w:val="nil"/>
              <w:left w:val="nil"/>
              <w:bottom w:val="nil"/>
              <w:right w:val="single" w:color="auto" w:sz="4" w:space="0"/>
            </w:tcBorders>
            <w:shd w:val="clear" w:color="000000"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i w:val="0"/>
                <w:iCs w:val="0"/>
                <w:color w:val="000000" w:themeColor="text1"/>
                <w:kern w:val="0"/>
                <w:sz w:val="16"/>
                <w:szCs w:val="16"/>
                <w:u w:val="none"/>
                <w:lang w:val="en-US" w:eastAsia="zh-CN" w:bidi="ar"/>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exact"/>
        </w:trPr>
        <w:tc>
          <w:tcPr>
            <w:tcW w:w="11445" w:type="dxa"/>
            <w:gridSpan w:val="8"/>
            <w:tcBorders>
              <w:top w:val="nil"/>
              <w:left w:val="single" w:color="auto" w:sz="12" w:space="0"/>
              <w:bottom w:val="nil"/>
              <w:right w:val="single" w:color="auto" w:sz="4" w:space="0"/>
            </w:tcBorders>
            <w:shd w:val="clear" w:color="000000" w:fill="FFFFFF"/>
            <w:noWrap/>
            <w:vAlign w:val="center"/>
          </w:tcPr>
          <w:p>
            <w:pPr>
              <w:widowControl/>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color w:val="000000"/>
                <w:kern w:val="0"/>
                <w:sz w:val="18"/>
                <w:szCs w:val="18"/>
              </w:rPr>
              <w:t>项目不含税总金额：</w:t>
            </w:r>
            <w:r>
              <w:rPr>
                <w:rFonts w:hint="eastAsia" w:ascii="仿宋_GB2312" w:hAnsi="仿宋_GB2312" w:eastAsia="仿宋_GB2312" w:cs="仿宋_GB2312"/>
                <w:color w:val="000000"/>
                <w:kern w:val="0"/>
                <w:sz w:val="18"/>
                <w:szCs w:val="18"/>
                <w:lang w:val="en-US" w:eastAsia="zh-CN"/>
              </w:rPr>
              <w:t xml:space="preserve">  </w:t>
            </w:r>
            <w:r>
              <w:rPr>
                <w:rFonts w:hint="eastAsia" w:ascii="仿宋_GB2312" w:hAnsi="仿宋_GB2312" w:eastAsia="仿宋_GB2312" w:cs="仿宋_GB2312"/>
                <w:color w:val="000000"/>
                <w:kern w:val="0"/>
                <w:sz w:val="18"/>
                <w:szCs w:val="18"/>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exact"/>
        </w:trPr>
        <w:tc>
          <w:tcPr>
            <w:tcW w:w="11445" w:type="dxa"/>
            <w:gridSpan w:val="8"/>
            <w:tcBorders>
              <w:top w:val="nil"/>
              <w:left w:val="single" w:color="auto" w:sz="12" w:space="0"/>
              <w:bottom w:val="nil"/>
              <w:right w:val="single" w:color="auto" w:sz="4" w:space="0"/>
            </w:tcBorders>
            <w:shd w:val="clear" w:color="000000" w:fill="FFFFFF"/>
            <w:noWrap/>
            <w:vAlign w:val="center"/>
          </w:tcPr>
          <w:p>
            <w:pPr>
              <w:widowControl/>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color w:val="000000"/>
                <w:kern w:val="0"/>
                <w:sz w:val="18"/>
                <w:szCs w:val="18"/>
                <w:lang w:val="en-US" w:eastAsia="zh-CN"/>
              </w:rPr>
              <w:t>一般纳税人为13</w:t>
            </w:r>
            <w:r>
              <w:rPr>
                <w:rFonts w:hint="eastAsia" w:ascii="仿宋_GB2312" w:hAnsi="仿宋_GB2312" w:eastAsia="仿宋_GB2312" w:cs="仿宋_GB2312"/>
                <w:color w:val="000000"/>
                <w:kern w:val="0"/>
                <w:sz w:val="18"/>
                <w:szCs w:val="18"/>
              </w:rPr>
              <w:t>%增值税：</w:t>
            </w:r>
            <w:r>
              <w:rPr>
                <w:rFonts w:hint="eastAsia" w:ascii="仿宋_GB2312" w:hAnsi="仿宋_GB2312" w:eastAsia="仿宋_GB2312" w:cs="仿宋_GB2312"/>
                <w:color w:val="000000"/>
                <w:kern w:val="0"/>
                <w:sz w:val="18"/>
                <w:szCs w:val="18"/>
                <w:lang w:val="en-US" w:eastAsia="zh-CN"/>
              </w:rPr>
              <w:t xml:space="preserve"> </w:t>
            </w:r>
            <w:r>
              <w:rPr>
                <w:rFonts w:hint="eastAsia" w:ascii="仿宋_GB2312" w:hAnsi="仿宋_GB2312" w:eastAsia="仿宋_GB2312" w:cs="仿宋_GB2312"/>
                <w:color w:val="000000"/>
                <w:kern w:val="0"/>
                <w:sz w:val="18"/>
                <w:szCs w:val="18"/>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1445" w:type="dxa"/>
            <w:gridSpan w:val="8"/>
            <w:tcBorders>
              <w:top w:val="nil"/>
              <w:left w:val="single" w:color="auto" w:sz="12" w:space="0"/>
              <w:bottom w:val="nil"/>
              <w:right w:val="single" w:color="auto" w:sz="4" w:space="0"/>
            </w:tcBorders>
            <w:shd w:val="clear" w:color="000000" w:fill="FFFFFF"/>
            <w:noWrap/>
            <w:vAlign w:val="center"/>
          </w:tcPr>
          <w:p>
            <w:pPr>
              <w:widowControl/>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color w:val="000000"/>
                <w:kern w:val="0"/>
                <w:sz w:val="18"/>
                <w:szCs w:val="18"/>
              </w:rPr>
              <w:t>项目含税总金额：</w:t>
            </w:r>
            <w:r>
              <w:rPr>
                <w:rFonts w:hint="eastAsia" w:ascii="仿宋_GB2312" w:hAnsi="仿宋_GB2312" w:eastAsia="仿宋_GB2312" w:cs="仿宋_GB2312"/>
                <w:color w:val="000000"/>
                <w:kern w:val="0"/>
                <w:sz w:val="18"/>
                <w:szCs w:val="18"/>
                <w:lang w:val="en-US" w:eastAsia="zh-CN"/>
              </w:rPr>
              <w:t xml:space="preserve">   </w:t>
            </w:r>
            <w:r>
              <w:rPr>
                <w:rFonts w:hint="eastAsia" w:ascii="仿宋_GB2312" w:hAnsi="仿宋_GB2312" w:eastAsia="仿宋_GB2312" w:cs="仿宋_GB2312"/>
                <w:color w:val="000000"/>
                <w:kern w:val="0"/>
                <w:sz w:val="18"/>
                <w:szCs w:val="18"/>
              </w:rPr>
              <w:t>(大写:</w:t>
            </w:r>
            <w:r>
              <w:rPr>
                <w:rFonts w:hint="eastAsia" w:ascii="仿宋_GB2312" w:hAnsi="仿宋_GB2312" w:eastAsia="仿宋_GB2312" w:cs="仿宋_GB2312"/>
                <w:color w:val="000000"/>
                <w:kern w:val="0"/>
                <w:sz w:val="18"/>
                <w:szCs w:val="18"/>
                <w:lang w:val="en-US" w:eastAsia="zh-CN"/>
              </w:rPr>
              <w:t xml:space="preserve">  </w:t>
            </w:r>
            <w:r>
              <w:rPr>
                <w:rFonts w:hint="eastAsia" w:ascii="仿宋_GB2312" w:hAnsi="仿宋_GB2312" w:eastAsia="仿宋_GB2312" w:cs="仿宋_GB2312"/>
                <w:color w:val="000000"/>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1445" w:type="dxa"/>
            <w:gridSpan w:val="8"/>
            <w:tcBorders>
              <w:top w:val="nil"/>
              <w:left w:val="single" w:color="auto" w:sz="12" w:space="0"/>
              <w:bottom w:val="single" w:color="auto" w:sz="4" w:space="0"/>
              <w:right w:val="single" w:color="auto" w:sz="4" w:space="0"/>
            </w:tcBorders>
            <w:shd w:val="clear" w:color="000000" w:fill="FFFFFF"/>
            <w:noWrap/>
            <w:vAlign w:val="center"/>
          </w:tcPr>
          <w:p>
            <w:pPr>
              <w:widowControl/>
              <w:jc w:val="center"/>
              <w:textAlignment w:val="center"/>
              <w:rPr>
                <w:rFonts w:hint="eastAsia" w:ascii="仿宋_GB2312" w:hAnsi="仿宋_GB2312" w:eastAsia="仿宋_GB2312" w:cs="仿宋_GB2312"/>
                <w:color w:val="000000"/>
                <w:kern w:val="0"/>
                <w:sz w:val="18"/>
                <w:szCs w:val="18"/>
                <w:lang w:val="en-US" w:eastAsia="zh-CN" w:bidi="ar-SA"/>
              </w:rPr>
            </w:pPr>
            <w:r>
              <w:rPr>
                <w:rFonts w:hint="eastAsia" w:ascii="仿宋_GB2312" w:hAnsi="仿宋_GB2312" w:eastAsia="仿宋_GB2312" w:cs="仿宋_GB2312"/>
                <w:color w:val="000000"/>
                <w:kern w:val="0"/>
                <w:sz w:val="18"/>
                <w:szCs w:val="18"/>
                <w:lang w:val="en-US" w:eastAsia="zh-CN"/>
              </w:rPr>
              <w:t>以上报价包含本项目所需电气管线布置、安装调试</w:t>
            </w:r>
          </w:p>
        </w:tc>
      </w:tr>
    </w:tbl>
    <w:p>
      <w:pPr>
        <w:keepNext w:val="0"/>
        <w:keepLines w:val="0"/>
        <w:pageBreakBefore w:val="0"/>
        <w:kinsoku/>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sz w:val="24"/>
          <w:szCs w:val="24"/>
          <w:highlight w:val="none"/>
          <w:shd w:val="clear" w:color="auto" w:fill="auto"/>
          <w:lang w:val="en-US" w:eastAsia="zh-CN"/>
        </w:rPr>
      </w:pPr>
    </w:p>
    <w:p>
      <w:pPr>
        <w:keepNext w:val="0"/>
        <w:keepLines w:val="0"/>
        <w:pageBreakBefore w:val="0"/>
        <w:kinsoku/>
        <w:overflowPunct/>
        <w:topLinePunct w:val="0"/>
        <w:autoSpaceDE/>
        <w:autoSpaceDN/>
        <w:bidi w:val="0"/>
        <w:adjustRightInd/>
        <w:snapToGrid/>
        <w:spacing w:line="240" w:lineRule="auto"/>
        <w:textAlignment w:val="auto"/>
        <w:rPr>
          <w:rFonts w:hint="eastAsia" w:ascii="仿宋_GB2312" w:hAnsi="仿宋_GB2312" w:eastAsia="仿宋_GB2312" w:cs="仿宋_GB2312"/>
          <w:color w:val="auto"/>
          <w:sz w:val="24"/>
          <w:szCs w:val="24"/>
          <w:highlight w:val="none"/>
          <w:shd w:val="clear" w:color="auto" w:fill="auto"/>
          <w:lang w:val="en-US" w:eastAsia="zh-CN"/>
        </w:rPr>
      </w:pPr>
      <w:r>
        <w:rPr>
          <w:rFonts w:hint="eastAsia" w:ascii="仿宋_GB2312" w:hAnsi="仿宋_GB2312" w:eastAsia="仿宋_GB2312" w:cs="仿宋_GB2312"/>
          <w:color w:val="auto"/>
          <w:sz w:val="24"/>
          <w:szCs w:val="24"/>
          <w:highlight w:val="none"/>
          <w:shd w:val="clear" w:color="auto" w:fill="auto"/>
          <w:lang w:val="en-US" w:eastAsia="zh-CN"/>
        </w:rPr>
        <w:t>注：以上报价包括但不限于人工费、材料费、安装费、运输费、装卸费、加班费、材料运输费用及各项税费等全部费用。</w:t>
      </w:r>
    </w:p>
    <w:p>
      <w:pPr>
        <w:pStyle w:val="2"/>
        <w:rPr>
          <w:rFonts w:hint="eastAsia"/>
          <w:lang w:val="en-US" w:eastAsia="zh-CN"/>
        </w:rPr>
      </w:pPr>
    </w:p>
    <w:p>
      <w:pPr>
        <w:pStyle w:val="7"/>
        <w:keepNext w:val="0"/>
        <w:keepLines w:val="0"/>
        <w:pageBreakBefore w:val="0"/>
        <w:kinsoku/>
        <w:wordWrap w:val="0"/>
        <w:overflowPunct/>
        <w:topLinePunct w:val="0"/>
        <w:autoSpaceDE/>
        <w:autoSpaceDN/>
        <w:bidi w:val="0"/>
        <w:adjustRightInd/>
        <w:snapToGrid/>
        <w:spacing w:after="0" w:line="240" w:lineRule="auto"/>
        <w:ind w:left="0" w:leftChars="0" w:firstLine="0" w:firstLineChars="0"/>
        <w:jc w:val="right"/>
        <w:textAlignment w:val="auto"/>
        <w:rPr>
          <w:rFonts w:hint="eastAsia" w:ascii="仿宋_GB2312" w:hAnsi="仿宋_GB2312" w:eastAsia="仿宋" w:cs="仿宋_GB2312"/>
          <w:color w:val="auto"/>
          <w:sz w:val="28"/>
          <w:szCs w:val="28"/>
          <w:highlight w:val="none"/>
          <w:shd w:val="clear" w:color="auto" w:fill="auto"/>
          <w:lang w:val="en-US" w:eastAsia="zh-CN"/>
        </w:rPr>
      </w:pPr>
      <w:r>
        <w:rPr>
          <w:rFonts w:hint="eastAsia"/>
          <w:lang w:val="en-US" w:eastAsia="zh-CN"/>
        </w:rPr>
        <w:t xml:space="preserve">                                                </w:t>
      </w:r>
      <w:r>
        <w:rPr>
          <w:rFonts w:hint="eastAsia" w:ascii="仿宋_GB2312" w:hAnsi="仿宋_GB2312" w:eastAsia="仿宋" w:cs="仿宋_GB2312"/>
          <w:color w:val="auto"/>
          <w:sz w:val="28"/>
          <w:szCs w:val="28"/>
          <w:highlight w:val="none"/>
          <w:shd w:val="clear" w:color="auto" w:fill="auto"/>
          <w:lang w:val="en-US" w:eastAsia="zh-CN"/>
        </w:rPr>
        <w:t xml:space="preserve">供应商名称（加盖公章）：   </w:t>
      </w:r>
    </w:p>
    <w:p>
      <w:pPr>
        <w:pStyle w:val="22"/>
        <w:ind w:firstLine="7000" w:firstLineChars="2500"/>
        <w:rPr>
          <w:rFonts w:hint="eastAsia" w:ascii="仿宋" w:hAnsi="仿宋" w:eastAsia="仿宋" w:cs="仿宋_GB2312"/>
          <w:color w:val="auto"/>
          <w:kern w:val="2"/>
          <w:szCs w:val="28"/>
          <w:highlight w:val="none"/>
        </w:rPr>
      </w:pPr>
      <w:r>
        <w:rPr>
          <w:rFonts w:hint="eastAsia" w:ascii="仿宋_GB2312" w:hAnsi="仿宋_GB2312" w:eastAsia="仿宋" w:cs="仿宋_GB2312"/>
          <w:color w:val="auto"/>
          <w:sz w:val="28"/>
          <w:szCs w:val="28"/>
          <w:highlight w:val="none"/>
          <w:shd w:val="clear" w:color="auto" w:fill="auto"/>
          <w:lang w:val="en-US" w:eastAsia="zh-CN"/>
        </w:rPr>
        <w:t xml:space="preserve">  年  月  日 </w:t>
      </w:r>
    </w:p>
    <w:p>
      <w:pPr>
        <w:widowControl/>
        <w:jc w:val="left"/>
        <w:rPr>
          <w:rFonts w:hint="eastAsia" w:ascii="黑体" w:hAnsi="黑体" w:eastAsia="黑体" w:cs="黑体"/>
          <w:b/>
          <w:bCs/>
          <w:sz w:val="32"/>
          <w:szCs w:val="32"/>
        </w:rPr>
      </w:pPr>
      <w:r>
        <w:br w:type="page"/>
      </w:r>
      <w:bookmarkStart w:id="119" w:name="_Toc6058"/>
      <w:bookmarkStart w:id="120" w:name="_Toc16386"/>
      <w:bookmarkStart w:id="121" w:name="_Toc87616402"/>
      <w:bookmarkStart w:id="122" w:name="_Toc88209965"/>
    </w:p>
    <w:p>
      <w:pPr>
        <w:spacing w:line="360" w:lineRule="auto"/>
        <w:rPr>
          <w:rFonts w:hint="eastAsia" w:ascii="黑体" w:hAnsi="黑体" w:eastAsia="黑体" w:cs="黑体"/>
          <w:b/>
          <w:bCs/>
          <w:sz w:val="32"/>
          <w:szCs w:val="32"/>
        </w:rPr>
      </w:pPr>
      <w:r>
        <w:rPr>
          <w:rFonts w:hint="eastAsia" w:ascii="黑体" w:hAnsi="黑体" w:eastAsia="黑体" w:cs="黑体"/>
          <w:b/>
          <w:bCs/>
          <w:sz w:val="32"/>
          <w:szCs w:val="32"/>
          <w:lang w:val="en-US" w:eastAsia="zh-CN"/>
        </w:rPr>
        <w:t>6</w:t>
      </w:r>
      <w:r>
        <w:rPr>
          <w:rFonts w:hint="eastAsia" w:ascii="黑体" w:hAnsi="黑体" w:eastAsia="黑体" w:cs="黑体"/>
          <w:b/>
          <w:bCs/>
          <w:sz w:val="32"/>
          <w:szCs w:val="32"/>
        </w:rPr>
        <w:t>.其他资料</w:t>
      </w:r>
      <w:bookmarkEnd w:id="119"/>
      <w:bookmarkEnd w:id="120"/>
      <w:bookmarkEnd w:id="121"/>
      <w:bookmarkEnd w:id="122"/>
    </w:p>
    <w:p>
      <w:pPr>
        <w:adjustRightInd w:val="0"/>
        <w:snapToGrid w:val="0"/>
        <w:spacing w:line="600" w:lineRule="exact"/>
        <w:ind w:firstLine="570"/>
      </w:pPr>
      <w:r>
        <w:rPr>
          <w:rFonts w:ascii="仿宋_GB2312" w:eastAsia="仿宋_GB2312" w:hAnsiTheme="minorEastAsia"/>
          <w:sz w:val="28"/>
          <w:szCs w:val="28"/>
        </w:rPr>
        <w:t>供应商须提交的其他资料</w:t>
      </w:r>
      <w:r>
        <w:rPr>
          <w:rFonts w:hint="eastAsia" w:ascii="仿宋_GB2312" w:eastAsia="仿宋_GB2312" w:hAnsiTheme="minorEastAsia"/>
          <w:sz w:val="28"/>
          <w:szCs w:val="28"/>
        </w:rPr>
        <w:t>。</w:t>
      </w:r>
    </w:p>
    <w:sectPr>
      <w:headerReference r:id="rId10" w:type="default"/>
      <w:footerReference r:id="rId11" w:type="default"/>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p>
                        <w:p/>
                      </w:txbxContent>
                    </wps:txbx>
                    <wps:bodyPr wrap="none" lIns="0" tIns="0" rIns="0" bIns="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K3RzcIBAACNAwAADgAAAGRycy9lMm9Eb2MueG1srVPNjtMwEL6vxDtY&#10;vlNnK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JiPXgPDukLBw6SejjlBTMZxSYTRtVF6DP+8l6+kv2v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Lyt0c3CAQAAjQMAAA4AAAAAAAAAAQAgAAAAHgEAAGRycy9lMm9Eb2MueG1sUEsF&#10;BgAAAAAGAAYAWQEAAFIFAAAAAA==&#10;">
              <v:fill on="f" focussize="0,0"/>
              <v:stroke on="f"/>
              <v:imagedata o:title=""/>
              <o:lock v:ext="edit" aspectratio="f"/>
              <v:textbox inset="0mm,0mm,0mm,0mm" style="mso-fit-shape-to-text:t;">
                <w:txbxContent>
                  <w:p>
                    <w:pPr>
                      <w:pStyle w:val="17"/>
                    </w:pPr>
                  </w:p>
                  <w:p/>
                </w:txbxContent>
              </v:textbox>
            </v:shape>
          </w:pict>
        </mc:Fallback>
      </mc:AlternateContent>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sdtPr>
    <w:sdtContent>
      <w:p>
        <w:pPr>
          <w:pStyle w:val="17"/>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k5o/PCAQAAjQMAAA4AAAAAAAAAAQAgAAAAHgEAAGRycy9lMm9Eb2MueG1sUEsF&#10;BgAAAAAGAAYAWQEAAFIFAAAAAA==&#10;">
              <v:fill on="f" focussize="0,0"/>
              <v:stroke on="f"/>
              <v:imagedata o:title=""/>
              <o:lock v:ext="edit" aspectratio="f"/>
              <v:textbox inset="0mm,0mm,0mm,0mm" style="mso-fit-shape-to-text:t;">
                <w:txbxContent>
                  <w:p>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p>
                        <w:p/>
                      </w:txbxContent>
                    </wps:txbx>
                    <wps:bodyPr wrap="none" lIns="0" tIns="0" rIns="0" bIns="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AgVv8IBAACNAwAADgAAAGRycy9lMm9Eb2MueG1srVPNjtMwEL4j8Q6W&#10;79TZIq2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X1L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PAIFb/CAQAAjQMAAA4AAAAAAAAAAQAgAAAAHgEAAGRycy9lMm9Eb2MueG1sUEsF&#10;BgAAAAAGAAYAWQEAAFIFAAAAAA==&#10;">
              <v:fill on="f" focussize="0,0"/>
              <v:stroke on="f"/>
              <v:imagedata o:title=""/>
              <o:lock v:ext="edit" aspectratio="f"/>
              <v:textbox inset="0mm,0mm,0mm,0mm" style="mso-fit-shape-to-text:t;">
                <w:txbxContent>
                  <w:p>
                    <w:pPr>
                      <w:pStyle w:val="17"/>
                    </w:pPr>
                  </w:p>
                  <w:p/>
                </w:txbxContent>
              </v:textbox>
            </v:shape>
          </w:pict>
        </mc:Fallback>
      </mc:AlternateContent>
    </w:r>
  </w:p>
  <w:p>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wps:txbx>
                    <wps:bodyPr wrap="none" lIns="0" tIns="0" rIns="0" bIns="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4xFGj8EBAACNAwAADgAAAAAAAAABACAAAAAeAQAAZHJzL2Uyb0RvYy54bWxQSwUG&#10;AAAAAAYABgBZAQAAUQUAAAAA&#10;">
              <v:fill on="f" focussize="0,0"/>
              <v:stroke on="f"/>
              <v:imagedata o:title=""/>
              <o:lock v:ext="edit" aspectratio="f"/>
              <v:textbox inset="0mm,0mm,0mm,0mm" style="mso-fit-shape-to-text:t;">
                <w:txbxContent>
                  <w:p>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-175895</wp:posOffset>
              </wp:positionV>
              <wp:extent cx="445135" cy="230505"/>
              <wp:effectExtent l="0" t="0" r="0" b="0"/>
              <wp:wrapNone/>
              <wp:docPr id="6" name="文本框 6"/>
              <wp:cNvGraphicFramePr/>
              <a:graphic xmlns:a="http://schemas.openxmlformats.org/drawingml/2006/main">
                <a:graphicData uri="http://schemas.microsoft.com/office/word/2010/wordprocessingShape">
                  <wps:wsp>
                    <wps:cNvSpPr txBox="1"/>
                    <wps:spPr>
                      <a:xfrm>
                        <a:off x="0" y="0"/>
                        <a:ext cx="445135" cy="230505"/>
                      </a:xfrm>
                      <a:prstGeom prst="rect">
                        <a:avLst/>
                      </a:prstGeom>
                      <a:noFill/>
                      <a:ln>
                        <a:noFill/>
                      </a:ln>
                      <a:effectLst/>
                    </wps:spPr>
                    <wps:txbx>
                      <w:txbxContent>
                        <w:p>
                          <w:pPr>
                            <w:pStyle w:val="1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13.85pt;height:18.15pt;width:35.05pt;mso-position-horizontal:outside;mso-position-horizontal-relative:margin;mso-wrap-style:none;z-index:251661312;mso-width-relative:page;mso-height-relative:page;" filled="f" stroked="f" coordsize="21600,21600" o:gfxdata="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LFErv9IAAAAFAQAADwAAAAAAAAABACAAAAAiAAAA&#10;ZHJzL2Rvd25yZXYueG1sUEsBAhQAFAAAAAgAh07iQMthppDUAQAApQMAAA4AAAAAAAAAAQAgAAAA&#10;IQEAAGRycy9lMm9Eb2MueG1sUEsFBgAAAAAGAAYAWQEAAGcFAAAAAA==&#10;">
              <v:fill on="f" focussize="0,0"/>
              <v:stroke on="f"/>
              <v:imagedata o:title=""/>
              <o:lock v:ext="edit" aspectratio="f"/>
              <v:textbox inset="0mm,0mm,0mm,0mm" style="mso-fit-shape-to-text:t;">
                <w:txbxContent>
                  <w:p>
                    <w:pPr>
                      <w:pStyle w:val="1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3360" behindDoc="0" locked="0" layoutInCell="1" allowOverlap="1">
              <wp:simplePos x="0" y="0"/>
              <wp:positionH relativeFrom="margin">
                <wp:posOffset>0</wp:posOffset>
              </wp:positionH>
              <wp:positionV relativeFrom="paragraph">
                <wp:posOffset>-181610</wp:posOffset>
              </wp:positionV>
              <wp:extent cx="516890" cy="3130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16890" cy="313055"/>
                      </a:xfrm>
                      <a:prstGeom prst="rect">
                        <a:avLst/>
                      </a:prstGeom>
                      <a:noFill/>
                      <a:ln>
                        <a:noFill/>
                      </a:ln>
                    </wps:spPr>
                    <wps:txbx>
                      <w:txbxContent>
                        <w:p>
                          <w:pPr>
                            <w:pStyle w:val="17"/>
                            <w:rPr>
                              <w:rFonts w:hint="eastAsia" w:ascii="宋体" w:hAnsi="宋体" w:eastAsia="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- 2 -</w:t>
                          </w:r>
                          <w:r>
                            <w:rPr>
                              <w:rFonts w:hint="eastAsia" w:ascii="宋体" w:hAnsi="宋体" w:cs="宋体"/>
                              <w:sz w:val="28"/>
                              <w:szCs w:val="28"/>
                            </w:rPr>
                            <w:fldChar w:fldCharType="end"/>
                          </w:r>
                        </w:p>
                      </w:txbxContent>
                    </wps:txbx>
                    <wps:bodyPr lIns="0" tIns="0" rIns="0" bIns="0"/>
                  </wps:wsp>
                </a:graphicData>
              </a:graphic>
            </wp:anchor>
          </w:drawing>
        </mc:Choice>
        <mc:Fallback>
          <w:pict>
            <v:shape id="_x0000_s1026" o:spid="_x0000_s1026" o:spt="202" type="#_x0000_t202" style="position:absolute;left:0pt;margin-left:0pt;margin-top:-14.3pt;height:24.65pt;width:40.7pt;mso-position-horizontal-relative:margin;z-index:251663360;mso-width-relative:page;mso-height-relative:page;" filled="f" stroked="f" coordsize="21600,21600" o:gfxdata="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bm&#10;zfrWAAAABgEAAA8AAAAAAAAAAQAgAAAAIgAAAGRycy9kb3ducmV2LnhtbFBLAQIUABQAAAAIAIdO&#10;4kB9JZTRswEAAGUDAAAOAAAAAAAAAAEAIAAAACUBAABkcnMvZTJvRG9jLnhtbFBLBQYAAAAABgAG&#10;AFkBAABKBQAAAAA=&#10;">
              <v:fill on="f" focussize="0,0"/>
              <v:stroke on="f"/>
              <v:imagedata o:title=""/>
              <o:lock v:ext="edit" aspectratio="f"/>
              <v:textbox inset="0mm,0mm,0mm,0mm">
                <w:txbxContent>
                  <w:p>
                    <w:pPr>
                      <w:pStyle w:val="17"/>
                      <w:rPr>
                        <w:rFonts w:hint="eastAsia" w:ascii="宋体" w:hAnsi="宋体" w:eastAsia="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nQN8ABAACO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3hJqAkjluc+OXH98vP35df30id&#10;9RkCNJh2HzAxjW/9iLmLH9CZaY8q2vxFQgTjCHW+qivHRER+VK/rusKQwNhyQXz28DxESO+ktyQb&#10;LY04vqIqP32ANKUuKbma83famDJC4/5yIGb2sNz71GO20rgfZ0J7352Rz4CTb6nDRafEvHcoLPaX&#10;FiMuxn42cg0Ib44JC5d+MuoENRfDMRVG80rlPXh8L1kPv9H2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3ydA3wAEAAI4DAAAOAAAAAAAAAAEAIAAAAB4BAABkcnMvZTJvRG9jLnhtbFBLBQYA&#10;AAAABgAGAFkBAABQBQAAAAA=&#10;">
              <v:fill on="f" focussize="0,0"/>
              <v:stroke on="f"/>
              <v:imagedata o:title=""/>
              <o:lock v:ext="edit" aspectratio="f"/>
              <v:textbox inset="0mm,0mm,0mm,0mm" style="mso-fit-shape-to-text:t;">
                <w:txbxContent>
                  <w:p>
                    <w:pPr>
                      <w:pStyle w:val="1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p>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lHcD8IBAACNAwAADgAAAGRycy9lMm9Eb2MueG1srVPNjtMwEL4j8Q6W&#10;79TZHlA3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TUauAeH2kLBw6SejjlBTMZxSYTRtVF6Dx/eS9fAXbf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CJR3A/CAQAAjQMAAA4AAAAAAAAAAQAgAAAAHgEAAGRycy9lMm9Eb2MueG1sUEsF&#10;BgAAAAAGAAYAWQEAAFIFAAAAAA==&#10;">
              <v:fill on="f" focussize="0,0"/>
              <v:stroke on="f"/>
              <v:imagedata o:title=""/>
              <o:lock v:ext="edit" aspectratio="f"/>
              <v:textbox inset="0mm,0mm,0mm,0mm" style="mso-fit-shape-to-text:t;">
                <w:txbxContent>
                  <w:p>
                    <w:pPr>
                      <w:pStyle w:val="17"/>
                    </w:pPr>
                  </w:p>
                  <w:p/>
                </w:txbxContent>
              </v:textbox>
            </v:shape>
          </w:pict>
        </mc:Fallback>
      </mc:AlternateContent>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CDF169"/>
    <w:multiLevelType w:val="singleLevel"/>
    <w:tmpl w:val="98CDF169"/>
    <w:lvl w:ilvl="0" w:tentative="0">
      <w:start w:val="5"/>
      <w:numFmt w:val="decimal"/>
      <w:lvlText w:val="%1."/>
      <w:lvlJc w:val="left"/>
      <w:pPr>
        <w:tabs>
          <w:tab w:val="left" w:pos="312"/>
        </w:tabs>
      </w:pPr>
    </w:lvl>
  </w:abstractNum>
  <w:abstractNum w:abstractNumId="1">
    <w:nsid w:val="BCCCAC4A"/>
    <w:multiLevelType w:val="singleLevel"/>
    <w:tmpl w:val="BCCCAC4A"/>
    <w:lvl w:ilvl="0" w:tentative="0">
      <w:start w:val="2"/>
      <w:numFmt w:val="chineseCounting"/>
      <w:suff w:val="nothing"/>
      <w:lvlText w:val="%1、"/>
      <w:lvlJc w:val="left"/>
      <w:rPr>
        <w:rFonts w:hint="eastAsia"/>
      </w:rPr>
    </w:lvl>
  </w:abstractNum>
  <w:abstractNum w:abstractNumId="2">
    <w:nsid w:val="CC9CF724"/>
    <w:multiLevelType w:val="singleLevel"/>
    <w:tmpl w:val="CC9CF724"/>
    <w:lvl w:ilvl="0" w:tentative="0">
      <w:start w:val="1"/>
      <w:numFmt w:val="chineseCounting"/>
      <w:suff w:val="space"/>
      <w:lvlText w:val="第%1章"/>
      <w:lvlJc w:val="left"/>
      <w:rPr>
        <w:rFonts w:hint="eastAsia"/>
      </w:rPr>
    </w:lvl>
  </w:abstractNum>
  <w:abstractNum w:abstractNumId="3">
    <w:nsid w:val="F474C9A6"/>
    <w:multiLevelType w:val="singleLevel"/>
    <w:tmpl w:val="F474C9A6"/>
    <w:lvl w:ilvl="0" w:tentative="0">
      <w:start w:val="10"/>
      <w:numFmt w:val="chineseCounting"/>
      <w:suff w:val="space"/>
      <w:lvlText w:val="第%1条"/>
      <w:lvlJc w:val="left"/>
      <w:rPr>
        <w:rFonts w:hint="eastAsia"/>
      </w:rPr>
    </w:lvl>
  </w:abstractNum>
  <w:abstractNum w:abstractNumId="4">
    <w:nsid w:val="4734DCE6"/>
    <w:multiLevelType w:val="singleLevel"/>
    <w:tmpl w:val="4734DCE6"/>
    <w:lvl w:ilvl="0" w:tentative="0">
      <w:start w:val="1"/>
      <w:numFmt w:val="decimal"/>
      <w:lvlText w:val="%1."/>
      <w:lvlJc w:val="left"/>
      <w:pPr>
        <w:tabs>
          <w:tab w:val="left" w:pos="312"/>
        </w:tabs>
      </w:pPr>
    </w:lvl>
  </w:abstractNum>
  <w:abstractNum w:abstractNumId="5">
    <w:nsid w:val="5A408C0E"/>
    <w:multiLevelType w:val="singleLevel"/>
    <w:tmpl w:val="5A408C0E"/>
    <w:lvl w:ilvl="0" w:tentative="0">
      <w:start w:val="2"/>
      <w:numFmt w:val="decimal"/>
      <w:lvlText w:val="%1."/>
      <w:lvlJc w:val="left"/>
      <w:pPr>
        <w:tabs>
          <w:tab w:val="left" w:pos="312"/>
        </w:tabs>
      </w:pPr>
    </w:lvl>
  </w:abstractNum>
  <w:abstractNum w:abstractNumId="6">
    <w:nsid w:val="705D32C3"/>
    <w:multiLevelType w:val="singleLevel"/>
    <w:tmpl w:val="705D32C3"/>
    <w:lvl w:ilvl="0" w:tentative="0">
      <w:start w:val="5"/>
      <w:numFmt w:val="decimal"/>
      <w:lvlText w:val="%1."/>
      <w:lvlJc w:val="left"/>
      <w:pPr>
        <w:tabs>
          <w:tab w:val="left" w:pos="312"/>
        </w:tabs>
      </w:pPr>
    </w:lvl>
  </w:abstractNum>
  <w:num w:numId="1">
    <w:abstractNumId w:val="2"/>
  </w:num>
  <w:num w:numId="2">
    <w:abstractNumId w:val="5"/>
  </w:num>
  <w:num w:numId="3">
    <w:abstractNumId w:val="6"/>
  </w:num>
  <w:num w:numId="4">
    <w:abstractNumId w:val="4"/>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NlNTNmYTg2YTk2YzBlZmY5MDJmNzVhNmU5MTU4MDEifQ=="/>
  </w:docVars>
  <w:rsids>
    <w:rsidRoot w:val="005D618A"/>
    <w:rsid w:val="00005402"/>
    <w:rsid w:val="001B1CF1"/>
    <w:rsid w:val="00240360"/>
    <w:rsid w:val="002B0CBB"/>
    <w:rsid w:val="00367E62"/>
    <w:rsid w:val="003A40CA"/>
    <w:rsid w:val="003D60BA"/>
    <w:rsid w:val="003E419E"/>
    <w:rsid w:val="00411689"/>
    <w:rsid w:val="004D7723"/>
    <w:rsid w:val="00525EA6"/>
    <w:rsid w:val="005D618A"/>
    <w:rsid w:val="00911ECD"/>
    <w:rsid w:val="00A042E0"/>
    <w:rsid w:val="00B26BB1"/>
    <w:rsid w:val="00B26E21"/>
    <w:rsid w:val="00B741D7"/>
    <w:rsid w:val="00BB240B"/>
    <w:rsid w:val="00C16F1E"/>
    <w:rsid w:val="00CB3927"/>
    <w:rsid w:val="00D249C6"/>
    <w:rsid w:val="00D4533C"/>
    <w:rsid w:val="00DD2FC2"/>
    <w:rsid w:val="00DF0CB0"/>
    <w:rsid w:val="00F11D76"/>
    <w:rsid w:val="00F211EF"/>
    <w:rsid w:val="00F447D4"/>
    <w:rsid w:val="00F701A9"/>
    <w:rsid w:val="00F83B64"/>
    <w:rsid w:val="00FE5949"/>
    <w:rsid w:val="013E3461"/>
    <w:rsid w:val="013E61E2"/>
    <w:rsid w:val="01804A4C"/>
    <w:rsid w:val="01BB0F13"/>
    <w:rsid w:val="02090C75"/>
    <w:rsid w:val="02644221"/>
    <w:rsid w:val="027A5940"/>
    <w:rsid w:val="02A23A3C"/>
    <w:rsid w:val="02FB196F"/>
    <w:rsid w:val="030A0A72"/>
    <w:rsid w:val="03196F07"/>
    <w:rsid w:val="035D130A"/>
    <w:rsid w:val="0371289F"/>
    <w:rsid w:val="03720A60"/>
    <w:rsid w:val="039110A9"/>
    <w:rsid w:val="03AC246A"/>
    <w:rsid w:val="03AE6061"/>
    <w:rsid w:val="03B23056"/>
    <w:rsid w:val="03DA023E"/>
    <w:rsid w:val="03DC3EBA"/>
    <w:rsid w:val="03F9794D"/>
    <w:rsid w:val="044B1342"/>
    <w:rsid w:val="045301F6"/>
    <w:rsid w:val="04697A1A"/>
    <w:rsid w:val="046A2461"/>
    <w:rsid w:val="04904FA7"/>
    <w:rsid w:val="04B93101"/>
    <w:rsid w:val="04F574FF"/>
    <w:rsid w:val="051C2970"/>
    <w:rsid w:val="052838D4"/>
    <w:rsid w:val="0534627A"/>
    <w:rsid w:val="053509E4"/>
    <w:rsid w:val="053E0EA6"/>
    <w:rsid w:val="05746676"/>
    <w:rsid w:val="05ED01D7"/>
    <w:rsid w:val="060C3611"/>
    <w:rsid w:val="061A5470"/>
    <w:rsid w:val="067D155B"/>
    <w:rsid w:val="068E3768"/>
    <w:rsid w:val="069114AA"/>
    <w:rsid w:val="06A02618"/>
    <w:rsid w:val="06C64829"/>
    <w:rsid w:val="06E415DA"/>
    <w:rsid w:val="06FA0280"/>
    <w:rsid w:val="06FC6923"/>
    <w:rsid w:val="070E7B6E"/>
    <w:rsid w:val="071D62B7"/>
    <w:rsid w:val="076170CE"/>
    <w:rsid w:val="0765096C"/>
    <w:rsid w:val="07691ADF"/>
    <w:rsid w:val="077D16D2"/>
    <w:rsid w:val="07CB2501"/>
    <w:rsid w:val="0809185A"/>
    <w:rsid w:val="082A69F3"/>
    <w:rsid w:val="08675FC8"/>
    <w:rsid w:val="08D03AAE"/>
    <w:rsid w:val="08E753B1"/>
    <w:rsid w:val="09173EE8"/>
    <w:rsid w:val="092E2FE0"/>
    <w:rsid w:val="0955056D"/>
    <w:rsid w:val="09772BD9"/>
    <w:rsid w:val="09806D3B"/>
    <w:rsid w:val="098826F0"/>
    <w:rsid w:val="099A2423"/>
    <w:rsid w:val="09A514F4"/>
    <w:rsid w:val="09B4029A"/>
    <w:rsid w:val="09B713FD"/>
    <w:rsid w:val="09E259C5"/>
    <w:rsid w:val="09EF6ACC"/>
    <w:rsid w:val="0A2C751F"/>
    <w:rsid w:val="0A315056"/>
    <w:rsid w:val="0A3E3B7B"/>
    <w:rsid w:val="0A5B1F0B"/>
    <w:rsid w:val="0A694621"/>
    <w:rsid w:val="0A6A44EC"/>
    <w:rsid w:val="0A7B2255"/>
    <w:rsid w:val="0A8E1F88"/>
    <w:rsid w:val="0A9652E1"/>
    <w:rsid w:val="0AA213B4"/>
    <w:rsid w:val="0AA277E2"/>
    <w:rsid w:val="0AB6328D"/>
    <w:rsid w:val="0ABE2142"/>
    <w:rsid w:val="0AE71698"/>
    <w:rsid w:val="0AF61C7E"/>
    <w:rsid w:val="0AFB45AD"/>
    <w:rsid w:val="0AFF0681"/>
    <w:rsid w:val="0B00275A"/>
    <w:rsid w:val="0B2769AB"/>
    <w:rsid w:val="0B351E9B"/>
    <w:rsid w:val="0B4C50D3"/>
    <w:rsid w:val="0B4C599F"/>
    <w:rsid w:val="0B5E5DFE"/>
    <w:rsid w:val="0B806B92"/>
    <w:rsid w:val="0B827E94"/>
    <w:rsid w:val="0B842F76"/>
    <w:rsid w:val="0B9C2483"/>
    <w:rsid w:val="0BA876D0"/>
    <w:rsid w:val="0BC55E7E"/>
    <w:rsid w:val="0BD070E1"/>
    <w:rsid w:val="0BD65B6B"/>
    <w:rsid w:val="0C1C4D8C"/>
    <w:rsid w:val="0C2361E7"/>
    <w:rsid w:val="0C247926"/>
    <w:rsid w:val="0C2C19C7"/>
    <w:rsid w:val="0C7E54E8"/>
    <w:rsid w:val="0C923886"/>
    <w:rsid w:val="0C965124"/>
    <w:rsid w:val="0CB35CD6"/>
    <w:rsid w:val="0CCE0D62"/>
    <w:rsid w:val="0CE916F8"/>
    <w:rsid w:val="0D091D9A"/>
    <w:rsid w:val="0D352B8F"/>
    <w:rsid w:val="0D37662E"/>
    <w:rsid w:val="0D6D057B"/>
    <w:rsid w:val="0D794204"/>
    <w:rsid w:val="0D9637C5"/>
    <w:rsid w:val="0D9D13BC"/>
    <w:rsid w:val="0DDF1C18"/>
    <w:rsid w:val="0E1D1059"/>
    <w:rsid w:val="0E2125D1"/>
    <w:rsid w:val="0E214211"/>
    <w:rsid w:val="0E4B0190"/>
    <w:rsid w:val="0E562C7C"/>
    <w:rsid w:val="0E5F2769"/>
    <w:rsid w:val="0E7476E7"/>
    <w:rsid w:val="0EA76787"/>
    <w:rsid w:val="0EBD2E3C"/>
    <w:rsid w:val="0EC0292C"/>
    <w:rsid w:val="0EC3241C"/>
    <w:rsid w:val="0ED8332F"/>
    <w:rsid w:val="0EEA79A9"/>
    <w:rsid w:val="0F0767AD"/>
    <w:rsid w:val="0F133DC8"/>
    <w:rsid w:val="0F3B253B"/>
    <w:rsid w:val="0F4D75A3"/>
    <w:rsid w:val="0F5B2DCA"/>
    <w:rsid w:val="0F714D08"/>
    <w:rsid w:val="0F73799F"/>
    <w:rsid w:val="0FA20605"/>
    <w:rsid w:val="0FAE6C29"/>
    <w:rsid w:val="0FC63F72"/>
    <w:rsid w:val="0FDF5034"/>
    <w:rsid w:val="0FEB5787"/>
    <w:rsid w:val="0FED051E"/>
    <w:rsid w:val="0FEE4C29"/>
    <w:rsid w:val="0FFA6644"/>
    <w:rsid w:val="0FFD33F6"/>
    <w:rsid w:val="10031608"/>
    <w:rsid w:val="10046082"/>
    <w:rsid w:val="102E38C6"/>
    <w:rsid w:val="10303AE2"/>
    <w:rsid w:val="104974DD"/>
    <w:rsid w:val="1050467E"/>
    <w:rsid w:val="10545A22"/>
    <w:rsid w:val="10BC5375"/>
    <w:rsid w:val="10CF50A9"/>
    <w:rsid w:val="10D80401"/>
    <w:rsid w:val="10E86945"/>
    <w:rsid w:val="11124F95"/>
    <w:rsid w:val="111703D2"/>
    <w:rsid w:val="11186A50"/>
    <w:rsid w:val="111F7DDE"/>
    <w:rsid w:val="112371A2"/>
    <w:rsid w:val="112847B9"/>
    <w:rsid w:val="112B101A"/>
    <w:rsid w:val="114E421F"/>
    <w:rsid w:val="115A7068"/>
    <w:rsid w:val="11684495"/>
    <w:rsid w:val="116B4A05"/>
    <w:rsid w:val="11877731"/>
    <w:rsid w:val="119B53FC"/>
    <w:rsid w:val="11A55A2D"/>
    <w:rsid w:val="1215733B"/>
    <w:rsid w:val="121C431D"/>
    <w:rsid w:val="12424CDC"/>
    <w:rsid w:val="1260229D"/>
    <w:rsid w:val="126D4B79"/>
    <w:rsid w:val="129A2738"/>
    <w:rsid w:val="12AF5192"/>
    <w:rsid w:val="12B56BF1"/>
    <w:rsid w:val="12BF763D"/>
    <w:rsid w:val="12CB1A89"/>
    <w:rsid w:val="131840FB"/>
    <w:rsid w:val="1319260B"/>
    <w:rsid w:val="13345697"/>
    <w:rsid w:val="13467417"/>
    <w:rsid w:val="136E76CF"/>
    <w:rsid w:val="13983E78"/>
    <w:rsid w:val="13A66595"/>
    <w:rsid w:val="140D5008"/>
    <w:rsid w:val="1424395D"/>
    <w:rsid w:val="142F7384"/>
    <w:rsid w:val="145F08C6"/>
    <w:rsid w:val="14A405FA"/>
    <w:rsid w:val="14A625C4"/>
    <w:rsid w:val="14BE790E"/>
    <w:rsid w:val="14D577BC"/>
    <w:rsid w:val="14E07884"/>
    <w:rsid w:val="14E43F59"/>
    <w:rsid w:val="15776308"/>
    <w:rsid w:val="15973CBB"/>
    <w:rsid w:val="15BC6B3C"/>
    <w:rsid w:val="15E52C78"/>
    <w:rsid w:val="15EC2C59"/>
    <w:rsid w:val="160C16CB"/>
    <w:rsid w:val="160F290D"/>
    <w:rsid w:val="161B4808"/>
    <w:rsid w:val="16360A7B"/>
    <w:rsid w:val="164B3423"/>
    <w:rsid w:val="164D40B0"/>
    <w:rsid w:val="1694429A"/>
    <w:rsid w:val="169D3553"/>
    <w:rsid w:val="16DB47A7"/>
    <w:rsid w:val="17635326"/>
    <w:rsid w:val="178D4AD1"/>
    <w:rsid w:val="17B803EA"/>
    <w:rsid w:val="17EE22B8"/>
    <w:rsid w:val="17F34770"/>
    <w:rsid w:val="1815096B"/>
    <w:rsid w:val="1816180F"/>
    <w:rsid w:val="182061EA"/>
    <w:rsid w:val="18236EFD"/>
    <w:rsid w:val="18377249"/>
    <w:rsid w:val="184529B6"/>
    <w:rsid w:val="18595F60"/>
    <w:rsid w:val="185D743E"/>
    <w:rsid w:val="18847929"/>
    <w:rsid w:val="189D5B1F"/>
    <w:rsid w:val="18A34CD0"/>
    <w:rsid w:val="18E436BB"/>
    <w:rsid w:val="18E5282E"/>
    <w:rsid w:val="19202945"/>
    <w:rsid w:val="194C2307"/>
    <w:rsid w:val="19526877"/>
    <w:rsid w:val="19A53EA8"/>
    <w:rsid w:val="19B64DBC"/>
    <w:rsid w:val="19D159ED"/>
    <w:rsid w:val="19EC6A4A"/>
    <w:rsid w:val="19FD2C86"/>
    <w:rsid w:val="1A373ACF"/>
    <w:rsid w:val="1A5D3A04"/>
    <w:rsid w:val="1A743F57"/>
    <w:rsid w:val="1A7B10BA"/>
    <w:rsid w:val="1A895341"/>
    <w:rsid w:val="1A8C57B1"/>
    <w:rsid w:val="1A974E89"/>
    <w:rsid w:val="1B0D071F"/>
    <w:rsid w:val="1B193AF0"/>
    <w:rsid w:val="1B1A7868"/>
    <w:rsid w:val="1B4568CE"/>
    <w:rsid w:val="1B746F78"/>
    <w:rsid w:val="1B7B0C3B"/>
    <w:rsid w:val="1B8D1DE8"/>
    <w:rsid w:val="1B9015B7"/>
    <w:rsid w:val="1B950DA6"/>
    <w:rsid w:val="1B974A15"/>
    <w:rsid w:val="1BAE5697"/>
    <w:rsid w:val="1BC872C4"/>
    <w:rsid w:val="1BD45C69"/>
    <w:rsid w:val="1BDE2644"/>
    <w:rsid w:val="1BF27E9D"/>
    <w:rsid w:val="1BF54245"/>
    <w:rsid w:val="1C404B96"/>
    <w:rsid w:val="1C5D17BA"/>
    <w:rsid w:val="1C694603"/>
    <w:rsid w:val="1C762AA7"/>
    <w:rsid w:val="1CBD17DC"/>
    <w:rsid w:val="1D0E6976"/>
    <w:rsid w:val="1D1C2B4F"/>
    <w:rsid w:val="1D2D73DF"/>
    <w:rsid w:val="1D4110DC"/>
    <w:rsid w:val="1D5A79EE"/>
    <w:rsid w:val="1D5F5B75"/>
    <w:rsid w:val="1DBA0B1F"/>
    <w:rsid w:val="1DD27F86"/>
    <w:rsid w:val="1E0E2CD0"/>
    <w:rsid w:val="1E164317"/>
    <w:rsid w:val="1E605592"/>
    <w:rsid w:val="1E6E2769"/>
    <w:rsid w:val="1E6F5576"/>
    <w:rsid w:val="1E831280"/>
    <w:rsid w:val="1E83641B"/>
    <w:rsid w:val="1E8A260F"/>
    <w:rsid w:val="1E8C6387"/>
    <w:rsid w:val="1EA772C8"/>
    <w:rsid w:val="1EBC4704"/>
    <w:rsid w:val="1EC51899"/>
    <w:rsid w:val="1EE461C3"/>
    <w:rsid w:val="1EE522C8"/>
    <w:rsid w:val="1EFA7794"/>
    <w:rsid w:val="1EFF4DAB"/>
    <w:rsid w:val="1F172EB5"/>
    <w:rsid w:val="1F22070B"/>
    <w:rsid w:val="1F745799"/>
    <w:rsid w:val="1F94592D"/>
    <w:rsid w:val="1FB860DE"/>
    <w:rsid w:val="1FD620C2"/>
    <w:rsid w:val="203C5A02"/>
    <w:rsid w:val="203E7B55"/>
    <w:rsid w:val="204E0A51"/>
    <w:rsid w:val="20542ED4"/>
    <w:rsid w:val="20653333"/>
    <w:rsid w:val="206D3F96"/>
    <w:rsid w:val="20796DDF"/>
    <w:rsid w:val="208C6B12"/>
    <w:rsid w:val="209D4C94"/>
    <w:rsid w:val="20A83220"/>
    <w:rsid w:val="20B44FCD"/>
    <w:rsid w:val="20B6593D"/>
    <w:rsid w:val="20C95670"/>
    <w:rsid w:val="20E84705"/>
    <w:rsid w:val="20F14BC7"/>
    <w:rsid w:val="21117B79"/>
    <w:rsid w:val="213B5E42"/>
    <w:rsid w:val="21645399"/>
    <w:rsid w:val="217750CC"/>
    <w:rsid w:val="218400BA"/>
    <w:rsid w:val="218B501C"/>
    <w:rsid w:val="21A63C04"/>
    <w:rsid w:val="21AB1E2F"/>
    <w:rsid w:val="21D40498"/>
    <w:rsid w:val="21FE243E"/>
    <w:rsid w:val="22364E30"/>
    <w:rsid w:val="22493963"/>
    <w:rsid w:val="225B679C"/>
    <w:rsid w:val="22767047"/>
    <w:rsid w:val="22AF23D7"/>
    <w:rsid w:val="22E243F3"/>
    <w:rsid w:val="23005595"/>
    <w:rsid w:val="230C3F3A"/>
    <w:rsid w:val="2323790C"/>
    <w:rsid w:val="232A43C0"/>
    <w:rsid w:val="233D40F4"/>
    <w:rsid w:val="234D45F8"/>
    <w:rsid w:val="238B4E5F"/>
    <w:rsid w:val="23931F66"/>
    <w:rsid w:val="23A05588"/>
    <w:rsid w:val="23A90302"/>
    <w:rsid w:val="240476A1"/>
    <w:rsid w:val="243454F7"/>
    <w:rsid w:val="244514B2"/>
    <w:rsid w:val="24562855"/>
    <w:rsid w:val="247B3126"/>
    <w:rsid w:val="24E953B9"/>
    <w:rsid w:val="24EF58C2"/>
    <w:rsid w:val="25431AEB"/>
    <w:rsid w:val="255B2F57"/>
    <w:rsid w:val="257162D7"/>
    <w:rsid w:val="25B875EB"/>
    <w:rsid w:val="25BE3BFB"/>
    <w:rsid w:val="25BF43FD"/>
    <w:rsid w:val="25C40AFC"/>
    <w:rsid w:val="25D725DE"/>
    <w:rsid w:val="25F86BCD"/>
    <w:rsid w:val="2605748B"/>
    <w:rsid w:val="260B2287"/>
    <w:rsid w:val="261338A2"/>
    <w:rsid w:val="26396D26"/>
    <w:rsid w:val="264544A6"/>
    <w:rsid w:val="267702FB"/>
    <w:rsid w:val="269E416A"/>
    <w:rsid w:val="26A1499A"/>
    <w:rsid w:val="26C11C6B"/>
    <w:rsid w:val="26DE2DEE"/>
    <w:rsid w:val="26EC20B9"/>
    <w:rsid w:val="27084A19"/>
    <w:rsid w:val="272100D3"/>
    <w:rsid w:val="272C72FC"/>
    <w:rsid w:val="272E1FD5"/>
    <w:rsid w:val="274F2647"/>
    <w:rsid w:val="275131CB"/>
    <w:rsid w:val="277D0F63"/>
    <w:rsid w:val="27806CA5"/>
    <w:rsid w:val="278F6521"/>
    <w:rsid w:val="27B86276"/>
    <w:rsid w:val="27EB149D"/>
    <w:rsid w:val="27F05BD9"/>
    <w:rsid w:val="27F8683B"/>
    <w:rsid w:val="27FD3E52"/>
    <w:rsid w:val="284130B3"/>
    <w:rsid w:val="285A74F6"/>
    <w:rsid w:val="28A91BE3"/>
    <w:rsid w:val="28E11370"/>
    <w:rsid w:val="28E219C5"/>
    <w:rsid w:val="28FD67FF"/>
    <w:rsid w:val="28FE2577"/>
    <w:rsid w:val="29235B3A"/>
    <w:rsid w:val="294A756A"/>
    <w:rsid w:val="295201CD"/>
    <w:rsid w:val="296B15FF"/>
    <w:rsid w:val="29781BF8"/>
    <w:rsid w:val="297939E2"/>
    <w:rsid w:val="298A5BB9"/>
    <w:rsid w:val="299D58EC"/>
    <w:rsid w:val="29BF1D06"/>
    <w:rsid w:val="29C33ED0"/>
    <w:rsid w:val="29D5322D"/>
    <w:rsid w:val="29EE439A"/>
    <w:rsid w:val="2A025DD9"/>
    <w:rsid w:val="2A2619CB"/>
    <w:rsid w:val="2A7129C2"/>
    <w:rsid w:val="2A7317D3"/>
    <w:rsid w:val="2A7C2231"/>
    <w:rsid w:val="2A920E4F"/>
    <w:rsid w:val="2AAC57B8"/>
    <w:rsid w:val="2ABB753D"/>
    <w:rsid w:val="2ABC7FF4"/>
    <w:rsid w:val="2AFE6EC4"/>
    <w:rsid w:val="2B345DDC"/>
    <w:rsid w:val="2B6366C1"/>
    <w:rsid w:val="2B7A49FA"/>
    <w:rsid w:val="2B824D9A"/>
    <w:rsid w:val="2B9D7E25"/>
    <w:rsid w:val="2BB86A0D"/>
    <w:rsid w:val="2BEB6DE3"/>
    <w:rsid w:val="2C275941"/>
    <w:rsid w:val="2C3562B0"/>
    <w:rsid w:val="2C5001C7"/>
    <w:rsid w:val="2C615D26"/>
    <w:rsid w:val="2C8D6288"/>
    <w:rsid w:val="2C9B7B9A"/>
    <w:rsid w:val="2C9D156B"/>
    <w:rsid w:val="2CB679ED"/>
    <w:rsid w:val="2CB73169"/>
    <w:rsid w:val="2CCF4361"/>
    <w:rsid w:val="2CE51A84"/>
    <w:rsid w:val="2CE83C37"/>
    <w:rsid w:val="2CEB2FFC"/>
    <w:rsid w:val="2CFE2B46"/>
    <w:rsid w:val="2D173C07"/>
    <w:rsid w:val="2D424A86"/>
    <w:rsid w:val="2D517119"/>
    <w:rsid w:val="2D55028C"/>
    <w:rsid w:val="2D5E5392"/>
    <w:rsid w:val="2D9D410D"/>
    <w:rsid w:val="2DBB4593"/>
    <w:rsid w:val="2DBE4083"/>
    <w:rsid w:val="2DDA66B7"/>
    <w:rsid w:val="2E6F2D11"/>
    <w:rsid w:val="2E770D48"/>
    <w:rsid w:val="2E7B52DB"/>
    <w:rsid w:val="2E862DF3"/>
    <w:rsid w:val="2E9A689E"/>
    <w:rsid w:val="2EA119DB"/>
    <w:rsid w:val="2EB2312B"/>
    <w:rsid w:val="2EB57234"/>
    <w:rsid w:val="2ED34A17"/>
    <w:rsid w:val="2ED4433F"/>
    <w:rsid w:val="2ED60115"/>
    <w:rsid w:val="2ED74F49"/>
    <w:rsid w:val="2F126A0B"/>
    <w:rsid w:val="2F25260C"/>
    <w:rsid w:val="2F324CFE"/>
    <w:rsid w:val="2F5702EB"/>
    <w:rsid w:val="2F601896"/>
    <w:rsid w:val="2F740E9D"/>
    <w:rsid w:val="2F8D01B1"/>
    <w:rsid w:val="2FBA09F1"/>
    <w:rsid w:val="2FC0270F"/>
    <w:rsid w:val="2FCD67FF"/>
    <w:rsid w:val="2FDC6A42"/>
    <w:rsid w:val="2FE51D9B"/>
    <w:rsid w:val="2FEF2ACF"/>
    <w:rsid w:val="2FF93D20"/>
    <w:rsid w:val="30540211"/>
    <w:rsid w:val="305A4537"/>
    <w:rsid w:val="3085512D"/>
    <w:rsid w:val="30E45100"/>
    <w:rsid w:val="30E97669"/>
    <w:rsid w:val="31112A0D"/>
    <w:rsid w:val="3118711F"/>
    <w:rsid w:val="311F4B20"/>
    <w:rsid w:val="312D7741"/>
    <w:rsid w:val="31660CB9"/>
    <w:rsid w:val="316B30C6"/>
    <w:rsid w:val="316F137F"/>
    <w:rsid w:val="31815AF3"/>
    <w:rsid w:val="318D4498"/>
    <w:rsid w:val="31DE4CF4"/>
    <w:rsid w:val="31DF525F"/>
    <w:rsid w:val="31E63BA8"/>
    <w:rsid w:val="31E762BB"/>
    <w:rsid w:val="31EC162B"/>
    <w:rsid w:val="31FC517A"/>
    <w:rsid w:val="32324C2E"/>
    <w:rsid w:val="32326DEE"/>
    <w:rsid w:val="323F1C36"/>
    <w:rsid w:val="324F5BF1"/>
    <w:rsid w:val="3261114E"/>
    <w:rsid w:val="326E35CB"/>
    <w:rsid w:val="327171DF"/>
    <w:rsid w:val="329D070B"/>
    <w:rsid w:val="32A27CEB"/>
    <w:rsid w:val="32B85545"/>
    <w:rsid w:val="33133EB9"/>
    <w:rsid w:val="33187B35"/>
    <w:rsid w:val="332E1CAB"/>
    <w:rsid w:val="333746BC"/>
    <w:rsid w:val="3391569E"/>
    <w:rsid w:val="33A47F69"/>
    <w:rsid w:val="33E10ACB"/>
    <w:rsid w:val="341E3434"/>
    <w:rsid w:val="343C7D6B"/>
    <w:rsid w:val="343D21A6"/>
    <w:rsid w:val="344057F2"/>
    <w:rsid w:val="34594B05"/>
    <w:rsid w:val="345D63A4"/>
    <w:rsid w:val="34790D04"/>
    <w:rsid w:val="347A4DBB"/>
    <w:rsid w:val="34A2025B"/>
    <w:rsid w:val="34A55F9D"/>
    <w:rsid w:val="34B87A7E"/>
    <w:rsid w:val="34BB4442"/>
    <w:rsid w:val="34BD6102"/>
    <w:rsid w:val="35335357"/>
    <w:rsid w:val="3538296D"/>
    <w:rsid w:val="353A4937"/>
    <w:rsid w:val="354B6B44"/>
    <w:rsid w:val="356F6CFE"/>
    <w:rsid w:val="3584136B"/>
    <w:rsid w:val="359E4543"/>
    <w:rsid w:val="35C12962"/>
    <w:rsid w:val="35CA5CBB"/>
    <w:rsid w:val="35EE5A04"/>
    <w:rsid w:val="35FC5C77"/>
    <w:rsid w:val="35FF5AA4"/>
    <w:rsid w:val="360B7EBA"/>
    <w:rsid w:val="362A49AB"/>
    <w:rsid w:val="36301896"/>
    <w:rsid w:val="363267DA"/>
    <w:rsid w:val="36416867"/>
    <w:rsid w:val="367D5DD4"/>
    <w:rsid w:val="368F2A60"/>
    <w:rsid w:val="369C32FD"/>
    <w:rsid w:val="36C50230"/>
    <w:rsid w:val="36FF3742"/>
    <w:rsid w:val="372426E1"/>
    <w:rsid w:val="372D0F11"/>
    <w:rsid w:val="375717D0"/>
    <w:rsid w:val="37666E72"/>
    <w:rsid w:val="37A83DDA"/>
    <w:rsid w:val="37C4673A"/>
    <w:rsid w:val="37C73291"/>
    <w:rsid w:val="37C91FA2"/>
    <w:rsid w:val="37FC4DE7"/>
    <w:rsid w:val="38081EA3"/>
    <w:rsid w:val="380F20AB"/>
    <w:rsid w:val="38167A04"/>
    <w:rsid w:val="381C3783"/>
    <w:rsid w:val="38803616"/>
    <w:rsid w:val="38E47094"/>
    <w:rsid w:val="3905700A"/>
    <w:rsid w:val="3911775D"/>
    <w:rsid w:val="394B167A"/>
    <w:rsid w:val="394C2E8B"/>
    <w:rsid w:val="395C1320"/>
    <w:rsid w:val="39854407"/>
    <w:rsid w:val="39AD34EA"/>
    <w:rsid w:val="39CB12E3"/>
    <w:rsid w:val="39DA2868"/>
    <w:rsid w:val="39DF6BF2"/>
    <w:rsid w:val="3A055F4B"/>
    <w:rsid w:val="3A176FF5"/>
    <w:rsid w:val="3A3C4CAD"/>
    <w:rsid w:val="3A414072"/>
    <w:rsid w:val="3A446021"/>
    <w:rsid w:val="3A451DB4"/>
    <w:rsid w:val="3A4E4336"/>
    <w:rsid w:val="3A6007FE"/>
    <w:rsid w:val="3A6F0BDF"/>
    <w:rsid w:val="3A802587"/>
    <w:rsid w:val="3A852164"/>
    <w:rsid w:val="3AD82C28"/>
    <w:rsid w:val="3AF70BD4"/>
    <w:rsid w:val="3AF93D6C"/>
    <w:rsid w:val="3AFD06C8"/>
    <w:rsid w:val="3B144A21"/>
    <w:rsid w:val="3B477B26"/>
    <w:rsid w:val="3B6E0E96"/>
    <w:rsid w:val="3B7C2CE4"/>
    <w:rsid w:val="3BAF716B"/>
    <w:rsid w:val="3BB207A9"/>
    <w:rsid w:val="3C0B5355"/>
    <w:rsid w:val="3C187054"/>
    <w:rsid w:val="3C1C08F2"/>
    <w:rsid w:val="3C1F6635"/>
    <w:rsid w:val="3C5C1637"/>
    <w:rsid w:val="3C7E1CED"/>
    <w:rsid w:val="3C7E7F35"/>
    <w:rsid w:val="3C836BC3"/>
    <w:rsid w:val="3C9506A5"/>
    <w:rsid w:val="3CA1704A"/>
    <w:rsid w:val="3CA52FDE"/>
    <w:rsid w:val="3CC01BC6"/>
    <w:rsid w:val="3CD236A7"/>
    <w:rsid w:val="3CD4176B"/>
    <w:rsid w:val="3D145A6E"/>
    <w:rsid w:val="3D1F44D9"/>
    <w:rsid w:val="3D5C38CD"/>
    <w:rsid w:val="3D65451B"/>
    <w:rsid w:val="3DA07301"/>
    <w:rsid w:val="3DBB36F7"/>
    <w:rsid w:val="3DDE5ECF"/>
    <w:rsid w:val="3E0E6961"/>
    <w:rsid w:val="3E200EB1"/>
    <w:rsid w:val="3E331626"/>
    <w:rsid w:val="3E5070F1"/>
    <w:rsid w:val="3E7569E0"/>
    <w:rsid w:val="3EB72B54"/>
    <w:rsid w:val="3EC370CB"/>
    <w:rsid w:val="3F283A52"/>
    <w:rsid w:val="3F2B0AF6"/>
    <w:rsid w:val="3F3C0C4C"/>
    <w:rsid w:val="3F402781"/>
    <w:rsid w:val="3F5B5BD6"/>
    <w:rsid w:val="3F6C3589"/>
    <w:rsid w:val="3F850180"/>
    <w:rsid w:val="3F9004D6"/>
    <w:rsid w:val="3F964E60"/>
    <w:rsid w:val="3FB53538"/>
    <w:rsid w:val="3FEE7CFA"/>
    <w:rsid w:val="40093884"/>
    <w:rsid w:val="400E4D5E"/>
    <w:rsid w:val="40385F17"/>
    <w:rsid w:val="404E573A"/>
    <w:rsid w:val="40E1138C"/>
    <w:rsid w:val="40FE4A6B"/>
    <w:rsid w:val="413814BA"/>
    <w:rsid w:val="41474664"/>
    <w:rsid w:val="41586871"/>
    <w:rsid w:val="41686388"/>
    <w:rsid w:val="41872511"/>
    <w:rsid w:val="418B7CA8"/>
    <w:rsid w:val="41DE650C"/>
    <w:rsid w:val="41DF1251"/>
    <w:rsid w:val="420E5181"/>
    <w:rsid w:val="42323618"/>
    <w:rsid w:val="424236D9"/>
    <w:rsid w:val="42466655"/>
    <w:rsid w:val="426479D7"/>
    <w:rsid w:val="426A0EE3"/>
    <w:rsid w:val="42A41642"/>
    <w:rsid w:val="42C82F57"/>
    <w:rsid w:val="42DF267A"/>
    <w:rsid w:val="42FF4ACA"/>
    <w:rsid w:val="435707E5"/>
    <w:rsid w:val="43747266"/>
    <w:rsid w:val="43943464"/>
    <w:rsid w:val="439927E1"/>
    <w:rsid w:val="43C76AF7"/>
    <w:rsid w:val="43CF26EE"/>
    <w:rsid w:val="43D54C8A"/>
    <w:rsid w:val="43D61CCF"/>
    <w:rsid w:val="43E22422"/>
    <w:rsid w:val="43E837B0"/>
    <w:rsid w:val="43E97E4A"/>
    <w:rsid w:val="440B1130"/>
    <w:rsid w:val="440D65DA"/>
    <w:rsid w:val="4436276D"/>
    <w:rsid w:val="446828F0"/>
    <w:rsid w:val="44817E8C"/>
    <w:rsid w:val="4497145E"/>
    <w:rsid w:val="45093E85"/>
    <w:rsid w:val="450B3BFA"/>
    <w:rsid w:val="455A182E"/>
    <w:rsid w:val="457A48DC"/>
    <w:rsid w:val="45C13B4D"/>
    <w:rsid w:val="45E53B08"/>
    <w:rsid w:val="45EB23E7"/>
    <w:rsid w:val="46054BCA"/>
    <w:rsid w:val="460B153D"/>
    <w:rsid w:val="464C6AFC"/>
    <w:rsid w:val="468B0091"/>
    <w:rsid w:val="46A107C3"/>
    <w:rsid w:val="46B02D60"/>
    <w:rsid w:val="46B15CE2"/>
    <w:rsid w:val="46BE113D"/>
    <w:rsid w:val="46E44B13"/>
    <w:rsid w:val="46EE37D3"/>
    <w:rsid w:val="4703508A"/>
    <w:rsid w:val="47490A0A"/>
    <w:rsid w:val="474F6B55"/>
    <w:rsid w:val="475023F8"/>
    <w:rsid w:val="479A1E7B"/>
    <w:rsid w:val="479C4FDD"/>
    <w:rsid w:val="479D361E"/>
    <w:rsid w:val="47AC21E8"/>
    <w:rsid w:val="47B6609F"/>
    <w:rsid w:val="47B74789"/>
    <w:rsid w:val="47C87B80"/>
    <w:rsid w:val="47CC0A6B"/>
    <w:rsid w:val="47D77DC3"/>
    <w:rsid w:val="47E66258"/>
    <w:rsid w:val="47F14906"/>
    <w:rsid w:val="47F95F8C"/>
    <w:rsid w:val="48032A55"/>
    <w:rsid w:val="480F2B9D"/>
    <w:rsid w:val="48102176"/>
    <w:rsid w:val="48174664"/>
    <w:rsid w:val="48282920"/>
    <w:rsid w:val="482F7BFF"/>
    <w:rsid w:val="483E1347"/>
    <w:rsid w:val="485321E0"/>
    <w:rsid w:val="48546AD3"/>
    <w:rsid w:val="48636531"/>
    <w:rsid w:val="48894F46"/>
    <w:rsid w:val="48AE2615"/>
    <w:rsid w:val="48CA4868"/>
    <w:rsid w:val="48DA5DBD"/>
    <w:rsid w:val="48F005D3"/>
    <w:rsid w:val="491E334C"/>
    <w:rsid w:val="49262B2D"/>
    <w:rsid w:val="49466522"/>
    <w:rsid w:val="49547ADD"/>
    <w:rsid w:val="495F62C2"/>
    <w:rsid w:val="49732351"/>
    <w:rsid w:val="498F4AF1"/>
    <w:rsid w:val="49C05787"/>
    <w:rsid w:val="49C32CF5"/>
    <w:rsid w:val="49CF518D"/>
    <w:rsid w:val="49D56585"/>
    <w:rsid w:val="4A1448A8"/>
    <w:rsid w:val="4A640074"/>
    <w:rsid w:val="4A663B63"/>
    <w:rsid w:val="4A7F3979"/>
    <w:rsid w:val="4ADA1F63"/>
    <w:rsid w:val="4AE23D89"/>
    <w:rsid w:val="4B2038D0"/>
    <w:rsid w:val="4B296E7D"/>
    <w:rsid w:val="4B441C14"/>
    <w:rsid w:val="4B4E59BF"/>
    <w:rsid w:val="4B79394E"/>
    <w:rsid w:val="4B877F28"/>
    <w:rsid w:val="4B92472D"/>
    <w:rsid w:val="4BB943B0"/>
    <w:rsid w:val="4BE86A43"/>
    <w:rsid w:val="4BEF7DD1"/>
    <w:rsid w:val="4C35155C"/>
    <w:rsid w:val="4C5C4D3B"/>
    <w:rsid w:val="4C72455F"/>
    <w:rsid w:val="4C837597"/>
    <w:rsid w:val="4CC5087B"/>
    <w:rsid w:val="4CC8327F"/>
    <w:rsid w:val="4CD200BA"/>
    <w:rsid w:val="4D2044E7"/>
    <w:rsid w:val="4D3637DE"/>
    <w:rsid w:val="4D387F00"/>
    <w:rsid w:val="4D6E2F78"/>
    <w:rsid w:val="4D782049"/>
    <w:rsid w:val="4D783DF7"/>
    <w:rsid w:val="4D916BA6"/>
    <w:rsid w:val="4DAD0C10"/>
    <w:rsid w:val="4DC44169"/>
    <w:rsid w:val="4DDA23BB"/>
    <w:rsid w:val="4DE24E21"/>
    <w:rsid w:val="4DE90850"/>
    <w:rsid w:val="4E1B19A3"/>
    <w:rsid w:val="4E1C73D9"/>
    <w:rsid w:val="4E3441C2"/>
    <w:rsid w:val="4E48787F"/>
    <w:rsid w:val="4E50267E"/>
    <w:rsid w:val="4E8D38D2"/>
    <w:rsid w:val="4E8D5680"/>
    <w:rsid w:val="4EA67471"/>
    <w:rsid w:val="4EB96475"/>
    <w:rsid w:val="4ED137BE"/>
    <w:rsid w:val="4EE334F2"/>
    <w:rsid w:val="4EF0709E"/>
    <w:rsid w:val="4EF96EF5"/>
    <w:rsid w:val="4F0469A4"/>
    <w:rsid w:val="4F7A20A8"/>
    <w:rsid w:val="4F8627FB"/>
    <w:rsid w:val="4FB235F0"/>
    <w:rsid w:val="4FB355BA"/>
    <w:rsid w:val="4FB94289"/>
    <w:rsid w:val="4FBF5D0D"/>
    <w:rsid w:val="4FED5402"/>
    <w:rsid w:val="500E56F4"/>
    <w:rsid w:val="50530122"/>
    <w:rsid w:val="50540C73"/>
    <w:rsid w:val="50752AF8"/>
    <w:rsid w:val="50D37CC2"/>
    <w:rsid w:val="50ED3FD0"/>
    <w:rsid w:val="513C6A7B"/>
    <w:rsid w:val="515F1555"/>
    <w:rsid w:val="51695F30"/>
    <w:rsid w:val="51705511"/>
    <w:rsid w:val="517300C9"/>
    <w:rsid w:val="51B31D16"/>
    <w:rsid w:val="51B64EEE"/>
    <w:rsid w:val="51C13FBE"/>
    <w:rsid w:val="52302EF2"/>
    <w:rsid w:val="524B3888"/>
    <w:rsid w:val="525A726D"/>
    <w:rsid w:val="527B23BF"/>
    <w:rsid w:val="52BD2017"/>
    <w:rsid w:val="52C5188C"/>
    <w:rsid w:val="52DF24A5"/>
    <w:rsid w:val="52EC6EC2"/>
    <w:rsid w:val="52ED2B91"/>
    <w:rsid w:val="532D486F"/>
    <w:rsid w:val="5333545B"/>
    <w:rsid w:val="53522541"/>
    <w:rsid w:val="538D0E89"/>
    <w:rsid w:val="53983A49"/>
    <w:rsid w:val="54183C3E"/>
    <w:rsid w:val="542303A0"/>
    <w:rsid w:val="5450213C"/>
    <w:rsid w:val="546649A9"/>
    <w:rsid w:val="546711F3"/>
    <w:rsid w:val="546B2CBD"/>
    <w:rsid w:val="546C3825"/>
    <w:rsid w:val="54D062C6"/>
    <w:rsid w:val="54D24048"/>
    <w:rsid w:val="54D64CD5"/>
    <w:rsid w:val="5532287C"/>
    <w:rsid w:val="55491250"/>
    <w:rsid w:val="554C1057"/>
    <w:rsid w:val="555F54CC"/>
    <w:rsid w:val="55887D69"/>
    <w:rsid w:val="55EE5D11"/>
    <w:rsid w:val="55F34962"/>
    <w:rsid w:val="55F40F50"/>
    <w:rsid w:val="55F52488"/>
    <w:rsid w:val="560501F2"/>
    <w:rsid w:val="561A0928"/>
    <w:rsid w:val="56423872"/>
    <w:rsid w:val="567F1D52"/>
    <w:rsid w:val="569E06BC"/>
    <w:rsid w:val="56B279F0"/>
    <w:rsid w:val="56BA5480"/>
    <w:rsid w:val="56D57BC4"/>
    <w:rsid w:val="56F20F86"/>
    <w:rsid w:val="57631674"/>
    <w:rsid w:val="578A6C00"/>
    <w:rsid w:val="579D710E"/>
    <w:rsid w:val="57A777B2"/>
    <w:rsid w:val="57AF2DEA"/>
    <w:rsid w:val="57C96A24"/>
    <w:rsid w:val="580469B3"/>
    <w:rsid w:val="581F22F6"/>
    <w:rsid w:val="5824157C"/>
    <w:rsid w:val="586E1E17"/>
    <w:rsid w:val="58862C35"/>
    <w:rsid w:val="589870FB"/>
    <w:rsid w:val="58AD704A"/>
    <w:rsid w:val="58C14957"/>
    <w:rsid w:val="58CC23D2"/>
    <w:rsid w:val="58CD3249"/>
    <w:rsid w:val="58E66050"/>
    <w:rsid w:val="59081BEB"/>
    <w:rsid w:val="593A6404"/>
    <w:rsid w:val="596B36B6"/>
    <w:rsid w:val="59D04A2A"/>
    <w:rsid w:val="59E63F07"/>
    <w:rsid w:val="59FC7994"/>
    <w:rsid w:val="5A20384C"/>
    <w:rsid w:val="5A4B28F7"/>
    <w:rsid w:val="5A517EA9"/>
    <w:rsid w:val="5A902780"/>
    <w:rsid w:val="5AC24903"/>
    <w:rsid w:val="5AD951BC"/>
    <w:rsid w:val="5AE83A50"/>
    <w:rsid w:val="5AF0321E"/>
    <w:rsid w:val="5AF42587"/>
    <w:rsid w:val="5AFA409D"/>
    <w:rsid w:val="5B34447A"/>
    <w:rsid w:val="5B353193"/>
    <w:rsid w:val="5B6A7475"/>
    <w:rsid w:val="5B7200D7"/>
    <w:rsid w:val="5B7332F9"/>
    <w:rsid w:val="5B841BB9"/>
    <w:rsid w:val="5BAB2917"/>
    <w:rsid w:val="5BB71F8E"/>
    <w:rsid w:val="5BBD57F6"/>
    <w:rsid w:val="5BCA3A6F"/>
    <w:rsid w:val="5BCC5A39"/>
    <w:rsid w:val="5BCF72D8"/>
    <w:rsid w:val="5BEA2363"/>
    <w:rsid w:val="5BFC33FA"/>
    <w:rsid w:val="5C142F3C"/>
    <w:rsid w:val="5C186ED1"/>
    <w:rsid w:val="5C3107A4"/>
    <w:rsid w:val="5C337866"/>
    <w:rsid w:val="5C3B1B93"/>
    <w:rsid w:val="5C561B02"/>
    <w:rsid w:val="5C6043D4"/>
    <w:rsid w:val="5C9220DF"/>
    <w:rsid w:val="5C93136F"/>
    <w:rsid w:val="5CB251FD"/>
    <w:rsid w:val="5CBA045F"/>
    <w:rsid w:val="5CBD5382"/>
    <w:rsid w:val="5CC13819"/>
    <w:rsid w:val="5D0E2082"/>
    <w:rsid w:val="5D192F00"/>
    <w:rsid w:val="5D1A27D4"/>
    <w:rsid w:val="5D347632"/>
    <w:rsid w:val="5D3E4715"/>
    <w:rsid w:val="5D4A15F3"/>
    <w:rsid w:val="5D69542A"/>
    <w:rsid w:val="5D783B72"/>
    <w:rsid w:val="5D885990"/>
    <w:rsid w:val="5DF64FF0"/>
    <w:rsid w:val="5E0930EF"/>
    <w:rsid w:val="5E227B93"/>
    <w:rsid w:val="5E3D4D53"/>
    <w:rsid w:val="5E4717E6"/>
    <w:rsid w:val="5E543AC4"/>
    <w:rsid w:val="5E55774C"/>
    <w:rsid w:val="5E6F6657"/>
    <w:rsid w:val="5E8A70FF"/>
    <w:rsid w:val="5E8C14B0"/>
    <w:rsid w:val="5E960603"/>
    <w:rsid w:val="5EA06361"/>
    <w:rsid w:val="5FD56E87"/>
    <w:rsid w:val="60045F96"/>
    <w:rsid w:val="60104DDC"/>
    <w:rsid w:val="601654D5"/>
    <w:rsid w:val="605C0804"/>
    <w:rsid w:val="60913E6F"/>
    <w:rsid w:val="609C2104"/>
    <w:rsid w:val="60B13EFF"/>
    <w:rsid w:val="60E70C20"/>
    <w:rsid w:val="60F90953"/>
    <w:rsid w:val="60FF41BB"/>
    <w:rsid w:val="611063C8"/>
    <w:rsid w:val="611C2FBF"/>
    <w:rsid w:val="611F0045"/>
    <w:rsid w:val="61260B45"/>
    <w:rsid w:val="61265BEC"/>
    <w:rsid w:val="613D4CE3"/>
    <w:rsid w:val="61733C3E"/>
    <w:rsid w:val="61803A80"/>
    <w:rsid w:val="6189617B"/>
    <w:rsid w:val="619743F4"/>
    <w:rsid w:val="61B52BB6"/>
    <w:rsid w:val="61B749C2"/>
    <w:rsid w:val="61F07FA8"/>
    <w:rsid w:val="62280D20"/>
    <w:rsid w:val="622F0AD0"/>
    <w:rsid w:val="62465E1A"/>
    <w:rsid w:val="62595B4D"/>
    <w:rsid w:val="626544F2"/>
    <w:rsid w:val="6271733B"/>
    <w:rsid w:val="62740BD9"/>
    <w:rsid w:val="62960B4F"/>
    <w:rsid w:val="629C50CC"/>
    <w:rsid w:val="62B4786E"/>
    <w:rsid w:val="62CA2457"/>
    <w:rsid w:val="630E06E5"/>
    <w:rsid w:val="631303F2"/>
    <w:rsid w:val="634467FD"/>
    <w:rsid w:val="63520F1A"/>
    <w:rsid w:val="637644DD"/>
    <w:rsid w:val="638240A1"/>
    <w:rsid w:val="63833423"/>
    <w:rsid w:val="63A5257B"/>
    <w:rsid w:val="63BD3DCC"/>
    <w:rsid w:val="63C61741"/>
    <w:rsid w:val="63DA0F0F"/>
    <w:rsid w:val="641E0DFC"/>
    <w:rsid w:val="643028DD"/>
    <w:rsid w:val="64560967"/>
    <w:rsid w:val="647B4686"/>
    <w:rsid w:val="6497246F"/>
    <w:rsid w:val="64A07A63"/>
    <w:rsid w:val="64CF0348"/>
    <w:rsid w:val="654C7BEB"/>
    <w:rsid w:val="656B1D10"/>
    <w:rsid w:val="65A11CE5"/>
    <w:rsid w:val="65AC068A"/>
    <w:rsid w:val="65B841F9"/>
    <w:rsid w:val="65BA0674"/>
    <w:rsid w:val="65F71905"/>
    <w:rsid w:val="66014531"/>
    <w:rsid w:val="66022B28"/>
    <w:rsid w:val="663A7A43"/>
    <w:rsid w:val="664A38E2"/>
    <w:rsid w:val="66581E87"/>
    <w:rsid w:val="6661143C"/>
    <w:rsid w:val="666F1DE3"/>
    <w:rsid w:val="66766EBB"/>
    <w:rsid w:val="66770C98"/>
    <w:rsid w:val="66CE787F"/>
    <w:rsid w:val="66F45E44"/>
    <w:rsid w:val="66FA11D5"/>
    <w:rsid w:val="674302C7"/>
    <w:rsid w:val="67642FCA"/>
    <w:rsid w:val="67BF6452"/>
    <w:rsid w:val="67CB09D8"/>
    <w:rsid w:val="67EE3B0F"/>
    <w:rsid w:val="67FF7197"/>
    <w:rsid w:val="68014CBD"/>
    <w:rsid w:val="680A5986"/>
    <w:rsid w:val="680D5F4B"/>
    <w:rsid w:val="68113F51"/>
    <w:rsid w:val="68175C13"/>
    <w:rsid w:val="6870599E"/>
    <w:rsid w:val="687A05CB"/>
    <w:rsid w:val="68831B76"/>
    <w:rsid w:val="68B272C7"/>
    <w:rsid w:val="68E94770"/>
    <w:rsid w:val="68EC1CEF"/>
    <w:rsid w:val="68F949C9"/>
    <w:rsid w:val="69146C72"/>
    <w:rsid w:val="694A2531"/>
    <w:rsid w:val="6951399C"/>
    <w:rsid w:val="695A4290"/>
    <w:rsid w:val="696F3649"/>
    <w:rsid w:val="697D65C5"/>
    <w:rsid w:val="6989120F"/>
    <w:rsid w:val="69DB32EB"/>
    <w:rsid w:val="69F06D97"/>
    <w:rsid w:val="6A107439"/>
    <w:rsid w:val="6A267606"/>
    <w:rsid w:val="6A3240F1"/>
    <w:rsid w:val="6A334932"/>
    <w:rsid w:val="6A3353FF"/>
    <w:rsid w:val="6A3C265A"/>
    <w:rsid w:val="6A3D7B02"/>
    <w:rsid w:val="6A4E1D0F"/>
    <w:rsid w:val="6A5D63E6"/>
    <w:rsid w:val="6A5F24D1"/>
    <w:rsid w:val="6A6F3E40"/>
    <w:rsid w:val="6A8B6AC0"/>
    <w:rsid w:val="6A995680"/>
    <w:rsid w:val="6A9B6EED"/>
    <w:rsid w:val="6AAF0A00"/>
    <w:rsid w:val="6AC02C0D"/>
    <w:rsid w:val="6AC458C1"/>
    <w:rsid w:val="6ACA70C4"/>
    <w:rsid w:val="6AE347EB"/>
    <w:rsid w:val="6B2A62D8"/>
    <w:rsid w:val="6B330365"/>
    <w:rsid w:val="6B347425"/>
    <w:rsid w:val="6B434AF0"/>
    <w:rsid w:val="6B57675A"/>
    <w:rsid w:val="6B87098A"/>
    <w:rsid w:val="6B9F6CC6"/>
    <w:rsid w:val="6BC8789F"/>
    <w:rsid w:val="6BDD7B4D"/>
    <w:rsid w:val="6C0B610A"/>
    <w:rsid w:val="6C18662D"/>
    <w:rsid w:val="6C354F35"/>
    <w:rsid w:val="6C393DD1"/>
    <w:rsid w:val="6C6972D4"/>
    <w:rsid w:val="6C7D068A"/>
    <w:rsid w:val="6C8E2897"/>
    <w:rsid w:val="6C9F6852"/>
    <w:rsid w:val="6CA16CF9"/>
    <w:rsid w:val="6CD75FEC"/>
    <w:rsid w:val="6CEB3054"/>
    <w:rsid w:val="6CED5810"/>
    <w:rsid w:val="6CF22FBC"/>
    <w:rsid w:val="6D25144D"/>
    <w:rsid w:val="6D52013C"/>
    <w:rsid w:val="6DAD4F9F"/>
    <w:rsid w:val="6E313E22"/>
    <w:rsid w:val="6E9404C0"/>
    <w:rsid w:val="6E961391"/>
    <w:rsid w:val="6EBC0B3A"/>
    <w:rsid w:val="6EED597D"/>
    <w:rsid w:val="6EF51C7D"/>
    <w:rsid w:val="6EF94940"/>
    <w:rsid w:val="6F152DFC"/>
    <w:rsid w:val="6F176B74"/>
    <w:rsid w:val="6F4A519B"/>
    <w:rsid w:val="6F6A6BBF"/>
    <w:rsid w:val="6F773AB6"/>
    <w:rsid w:val="6F8363E5"/>
    <w:rsid w:val="6F841DCF"/>
    <w:rsid w:val="6F953603"/>
    <w:rsid w:val="6FA80CCD"/>
    <w:rsid w:val="6FAC3760"/>
    <w:rsid w:val="6FAC3CC5"/>
    <w:rsid w:val="6FC36CFC"/>
    <w:rsid w:val="6FC746F5"/>
    <w:rsid w:val="6FD74555"/>
    <w:rsid w:val="6FE33EF5"/>
    <w:rsid w:val="70317AC6"/>
    <w:rsid w:val="703D260A"/>
    <w:rsid w:val="704B26F7"/>
    <w:rsid w:val="70697B21"/>
    <w:rsid w:val="70863262"/>
    <w:rsid w:val="70903082"/>
    <w:rsid w:val="70952446"/>
    <w:rsid w:val="70A76ED3"/>
    <w:rsid w:val="70A862D7"/>
    <w:rsid w:val="70AE52B6"/>
    <w:rsid w:val="70E707C8"/>
    <w:rsid w:val="70F84783"/>
    <w:rsid w:val="710245F7"/>
    <w:rsid w:val="71053D85"/>
    <w:rsid w:val="712453E6"/>
    <w:rsid w:val="7126357A"/>
    <w:rsid w:val="71860B17"/>
    <w:rsid w:val="71B22797"/>
    <w:rsid w:val="71CF3736"/>
    <w:rsid w:val="72054E77"/>
    <w:rsid w:val="723B27CC"/>
    <w:rsid w:val="72565C05"/>
    <w:rsid w:val="72587BCF"/>
    <w:rsid w:val="72687227"/>
    <w:rsid w:val="72A03FD9"/>
    <w:rsid w:val="72A050D2"/>
    <w:rsid w:val="72C30157"/>
    <w:rsid w:val="72D059B7"/>
    <w:rsid w:val="731F249B"/>
    <w:rsid w:val="73247AB1"/>
    <w:rsid w:val="732849D1"/>
    <w:rsid w:val="732D105C"/>
    <w:rsid w:val="73406CFF"/>
    <w:rsid w:val="7383028C"/>
    <w:rsid w:val="73A25E44"/>
    <w:rsid w:val="73BE7F06"/>
    <w:rsid w:val="73D72D76"/>
    <w:rsid w:val="73ED2599"/>
    <w:rsid w:val="741F68CF"/>
    <w:rsid w:val="744422CE"/>
    <w:rsid w:val="745F405A"/>
    <w:rsid w:val="7491561A"/>
    <w:rsid w:val="74BA06CD"/>
    <w:rsid w:val="751133CE"/>
    <w:rsid w:val="75252DF3"/>
    <w:rsid w:val="753F0BD2"/>
    <w:rsid w:val="75621536"/>
    <w:rsid w:val="75862CA5"/>
    <w:rsid w:val="759414BD"/>
    <w:rsid w:val="75A5137D"/>
    <w:rsid w:val="75BF3154"/>
    <w:rsid w:val="75DA4A2D"/>
    <w:rsid w:val="75F53987"/>
    <w:rsid w:val="7621652A"/>
    <w:rsid w:val="76400F7F"/>
    <w:rsid w:val="764A07CF"/>
    <w:rsid w:val="764F6B3D"/>
    <w:rsid w:val="76CD2B7B"/>
    <w:rsid w:val="76D80645"/>
    <w:rsid w:val="76E03371"/>
    <w:rsid w:val="76E47C83"/>
    <w:rsid w:val="771211AA"/>
    <w:rsid w:val="775D17E4"/>
    <w:rsid w:val="77736C04"/>
    <w:rsid w:val="7778661E"/>
    <w:rsid w:val="77B75398"/>
    <w:rsid w:val="77D9530E"/>
    <w:rsid w:val="77DC6BAC"/>
    <w:rsid w:val="780E5898"/>
    <w:rsid w:val="781A1483"/>
    <w:rsid w:val="782642CC"/>
    <w:rsid w:val="782D565A"/>
    <w:rsid w:val="783469E8"/>
    <w:rsid w:val="7860333A"/>
    <w:rsid w:val="78670B6C"/>
    <w:rsid w:val="786D1EFA"/>
    <w:rsid w:val="7894095E"/>
    <w:rsid w:val="78947487"/>
    <w:rsid w:val="78964555"/>
    <w:rsid w:val="78AD0549"/>
    <w:rsid w:val="78CF4963"/>
    <w:rsid w:val="78D31F49"/>
    <w:rsid w:val="78EA52F9"/>
    <w:rsid w:val="78FF6FF6"/>
    <w:rsid w:val="79000679"/>
    <w:rsid w:val="79142376"/>
    <w:rsid w:val="7916258F"/>
    <w:rsid w:val="7919280A"/>
    <w:rsid w:val="791C0FE5"/>
    <w:rsid w:val="791E4FA3"/>
    <w:rsid w:val="79725A1A"/>
    <w:rsid w:val="79A416F0"/>
    <w:rsid w:val="79B03EB6"/>
    <w:rsid w:val="79B61437"/>
    <w:rsid w:val="79BF0534"/>
    <w:rsid w:val="79C773E8"/>
    <w:rsid w:val="79E7658E"/>
    <w:rsid w:val="79F24151"/>
    <w:rsid w:val="7A293BFF"/>
    <w:rsid w:val="7A41363F"/>
    <w:rsid w:val="7A483E0B"/>
    <w:rsid w:val="7A9131A4"/>
    <w:rsid w:val="7A925C48"/>
    <w:rsid w:val="7ABE07EB"/>
    <w:rsid w:val="7AE15A5C"/>
    <w:rsid w:val="7AF37579"/>
    <w:rsid w:val="7AF87F64"/>
    <w:rsid w:val="7B1C0C84"/>
    <w:rsid w:val="7B1E74DC"/>
    <w:rsid w:val="7B5A62DF"/>
    <w:rsid w:val="7B7A04A8"/>
    <w:rsid w:val="7B7D06A6"/>
    <w:rsid w:val="7B8E4662"/>
    <w:rsid w:val="7BB35E76"/>
    <w:rsid w:val="7BB74BCC"/>
    <w:rsid w:val="7BDA3403"/>
    <w:rsid w:val="7BFC5A6F"/>
    <w:rsid w:val="7C0C3F6D"/>
    <w:rsid w:val="7C1A7CA3"/>
    <w:rsid w:val="7C22163C"/>
    <w:rsid w:val="7C457B4B"/>
    <w:rsid w:val="7C595075"/>
    <w:rsid w:val="7C6B07B2"/>
    <w:rsid w:val="7C6B6751"/>
    <w:rsid w:val="7C835849"/>
    <w:rsid w:val="7CD42548"/>
    <w:rsid w:val="7D1004A5"/>
    <w:rsid w:val="7D133243"/>
    <w:rsid w:val="7D2334DD"/>
    <w:rsid w:val="7D44147C"/>
    <w:rsid w:val="7D461D64"/>
    <w:rsid w:val="7D5E1E12"/>
    <w:rsid w:val="7D945420"/>
    <w:rsid w:val="7D965A4F"/>
    <w:rsid w:val="7D997857"/>
    <w:rsid w:val="7DBF2C63"/>
    <w:rsid w:val="7DC75C09"/>
    <w:rsid w:val="7DCE343B"/>
    <w:rsid w:val="7DD07A4B"/>
    <w:rsid w:val="7DF2712A"/>
    <w:rsid w:val="7E292420"/>
    <w:rsid w:val="7E394207"/>
    <w:rsid w:val="7E4007A2"/>
    <w:rsid w:val="7E791CAD"/>
    <w:rsid w:val="7E8A10CC"/>
    <w:rsid w:val="7EA50DFB"/>
    <w:rsid w:val="7EC86878"/>
    <w:rsid w:val="7EF73484"/>
    <w:rsid w:val="7EFE1AFE"/>
    <w:rsid w:val="7F16390D"/>
    <w:rsid w:val="7F19700A"/>
    <w:rsid w:val="7F1C1F84"/>
    <w:rsid w:val="7F250E39"/>
    <w:rsid w:val="7F363046"/>
    <w:rsid w:val="7F4D67E1"/>
    <w:rsid w:val="7F4E65E2"/>
    <w:rsid w:val="7F6D27E0"/>
    <w:rsid w:val="7F741F0B"/>
    <w:rsid w:val="7F752917"/>
    <w:rsid w:val="7F947D6D"/>
    <w:rsid w:val="7FBD3767"/>
    <w:rsid w:val="7FD10FC1"/>
    <w:rsid w:val="7FE37961"/>
    <w:rsid w:val="7FF633F9"/>
    <w:rsid w:val="7FFD5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4"/>
    <w:qFormat/>
    <w:uiPriority w:val="9"/>
    <w:pPr>
      <w:keepNext/>
      <w:keepLines/>
      <w:spacing w:before="340" w:after="330" w:line="578" w:lineRule="auto"/>
      <w:jc w:val="center"/>
      <w:outlineLvl w:val="0"/>
    </w:pPr>
    <w:rPr>
      <w:rFonts w:eastAsia="方正小标宋简体"/>
      <w:bCs/>
      <w:kern w:val="44"/>
      <w:sz w:val="44"/>
      <w:szCs w:val="44"/>
    </w:rPr>
  </w:style>
  <w:style w:type="paragraph" w:styleId="4">
    <w:name w:val="heading 2"/>
    <w:basedOn w:val="1"/>
    <w:next w:val="1"/>
    <w:link w:val="35"/>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5">
    <w:name w:val="heading 3"/>
    <w:basedOn w:val="1"/>
    <w:next w:val="1"/>
    <w:link w:val="36"/>
    <w:unhideWhenUsed/>
    <w:qFormat/>
    <w:uiPriority w:val="9"/>
    <w:pPr>
      <w:keepNext/>
      <w:keepLines/>
      <w:spacing w:before="260" w:after="260" w:line="416" w:lineRule="auto"/>
      <w:outlineLvl w:val="2"/>
    </w:pPr>
    <w:rPr>
      <w:rFonts w:ascii="Calibri" w:hAnsi="Calibri" w:eastAsia="宋体" w:cs="Times New Roman"/>
      <w:b/>
      <w:bCs/>
      <w:sz w:val="32"/>
      <w:szCs w:val="32"/>
    </w:rPr>
  </w:style>
  <w:style w:type="paragraph" w:styleId="6">
    <w:name w:val="heading 4"/>
    <w:basedOn w:val="1"/>
    <w:next w:val="1"/>
    <w:link w:val="6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customStyle="1" w:styleId="2">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 w:type="paragraph" w:styleId="7">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8">
    <w:name w:val="annotation text"/>
    <w:basedOn w:val="1"/>
    <w:semiHidden/>
    <w:unhideWhenUsed/>
    <w:qFormat/>
    <w:uiPriority w:val="99"/>
    <w:pPr>
      <w:jc w:val="left"/>
    </w:pPr>
  </w:style>
  <w:style w:type="paragraph" w:styleId="9">
    <w:name w:val="Body Text 3"/>
    <w:basedOn w:val="1"/>
    <w:link w:val="44"/>
    <w:unhideWhenUsed/>
    <w:qFormat/>
    <w:uiPriority w:val="99"/>
    <w:pPr>
      <w:spacing w:after="120"/>
    </w:pPr>
    <w:rPr>
      <w:sz w:val="16"/>
      <w:szCs w:val="16"/>
    </w:rPr>
  </w:style>
  <w:style w:type="paragraph" w:styleId="10">
    <w:name w:val="Body Text"/>
    <w:basedOn w:val="1"/>
    <w:qFormat/>
    <w:uiPriority w:val="99"/>
    <w:pPr>
      <w:spacing w:after="120"/>
    </w:pPr>
  </w:style>
  <w:style w:type="paragraph" w:styleId="11">
    <w:name w:val="Body Text Indent"/>
    <w:basedOn w:val="1"/>
    <w:next w:val="12"/>
    <w:qFormat/>
    <w:uiPriority w:val="0"/>
    <w:pPr>
      <w:adjustRightInd w:val="0"/>
      <w:snapToGrid w:val="0"/>
      <w:spacing w:line="360" w:lineRule="exact"/>
      <w:ind w:firstLine="630"/>
      <w:textAlignment w:val="baseline"/>
    </w:pPr>
    <w:rPr>
      <w:rFonts w:ascii="宋体" w:hAnsi="宋体" w:cs="Times New Roman"/>
      <w:kern w:val="0"/>
      <w:sz w:val="24"/>
      <w:szCs w:val="20"/>
    </w:rPr>
  </w:style>
  <w:style w:type="paragraph" w:styleId="12">
    <w:name w:val="envelope return"/>
    <w:basedOn w:val="1"/>
    <w:qFormat/>
    <w:uiPriority w:val="0"/>
    <w:pPr>
      <w:snapToGrid w:val="0"/>
    </w:pPr>
    <w:rPr>
      <w:rFonts w:ascii="Arial" w:hAnsi="Arial"/>
      <w:szCs w:val="24"/>
    </w:rPr>
  </w:style>
  <w:style w:type="paragraph" w:styleId="13">
    <w:name w:val="toc 3"/>
    <w:basedOn w:val="1"/>
    <w:next w:val="1"/>
    <w:unhideWhenUsed/>
    <w:qFormat/>
    <w:uiPriority w:val="39"/>
    <w:pPr>
      <w:widowControl/>
      <w:spacing w:after="100" w:line="276" w:lineRule="auto"/>
      <w:ind w:left="440"/>
      <w:jc w:val="left"/>
    </w:pPr>
    <w:rPr>
      <w:kern w:val="0"/>
      <w:sz w:val="22"/>
    </w:rPr>
  </w:style>
  <w:style w:type="paragraph" w:styleId="14">
    <w:name w:val="Plain Text"/>
    <w:basedOn w:val="1"/>
    <w:qFormat/>
    <w:uiPriority w:val="0"/>
    <w:rPr>
      <w:rFonts w:ascii="宋体" w:hAnsi="Courier New"/>
      <w:szCs w:val="21"/>
    </w:rPr>
  </w:style>
  <w:style w:type="paragraph" w:styleId="15">
    <w:name w:val="Body Text Indent 2"/>
    <w:basedOn w:val="1"/>
    <w:unhideWhenUsed/>
    <w:qFormat/>
    <w:uiPriority w:val="99"/>
    <w:pPr>
      <w:spacing w:after="120" w:line="480" w:lineRule="auto"/>
      <w:ind w:left="420" w:leftChars="200"/>
      <w:jc w:val="center"/>
    </w:pPr>
    <w:rPr>
      <w:kern w:val="0"/>
      <w:sz w:val="20"/>
    </w:rPr>
  </w:style>
  <w:style w:type="paragraph" w:styleId="16">
    <w:name w:val="Balloon Text"/>
    <w:basedOn w:val="1"/>
    <w:link w:val="39"/>
    <w:semiHidden/>
    <w:unhideWhenUsed/>
    <w:qFormat/>
    <w:uiPriority w:val="99"/>
    <w:rPr>
      <w:sz w:val="18"/>
      <w:szCs w:val="18"/>
    </w:rPr>
  </w:style>
  <w:style w:type="paragraph" w:styleId="17">
    <w:name w:val="footer"/>
    <w:basedOn w:val="1"/>
    <w:link w:val="33"/>
    <w:unhideWhenUsed/>
    <w:qFormat/>
    <w:uiPriority w:val="99"/>
    <w:pPr>
      <w:tabs>
        <w:tab w:val="center" w:pos="4153"/>
        <w:tab w:val="right" w:pos="8306"/>
      </w:tabs>
      <w:snapToGrid w:val="0"/>
      <w:jc w:val="left"/>
    </w:pPr>
    <w:rPr>
      <w:sz w:val="18"/>
      <w:szCs w:val="18"/>
    </w:rPr>
  </w:style>
  <w:style w:type="paragraph" w:styleId="18">
    <w:name w:val="header"/>
    <w:basedOn w:val="1"/>
    <w:link w:val="3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widowControl/>
      <w:spacing w:after="100" w:line="276" w:lineRule="auto"/>
      <w:jc w:val="left"/>
    </w:pPr>
    <w:rPr>
      <w:kern w:val="0"/>
      <w:sz w:val="22"/>
    </w:rPr>
  </w:style>
  <w:style w:type="paragraph" w:styleId="20">
    <w:name w:val="List"/>
    <w:basedOn w:val="1"/>
    <w:next w:val="1"/>
    <w:qFormat/>
    <w:uiPriority w:val="0"/>
    <w:pPr>
      <w:snapToGrid w:val="0"/>
    </w:pPr>
    <w:rPr>
      <w:szCs w:val="24"/>
    </w:rPr>
  </w:style>
  <w:style w:type="paragraph" w:styleId="21">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22">
    <w:name w:val="Body Text 2"/>
    <w:basedOn w:val="1"/>
    <w:qFormat/>
    <w:uiPriority w:val="0"/>
    <w:pPr>
      <w:spacing w:after="120" w:line="480" w:lineRule="auto"/>
    </w:pPr>
  </w:style>
  <w:style w:type="paragraph" w:styleId="2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4">
    <w:name w:val="Body Text First Indent 2"/>
    <w:basedOn w:val="11"/>
    <w:qFormat/>
    <w:uiPriority w:val="0"/>
    <w:pPr>
      <w:spacing w:line="360" w:lineRule="auto"/>
      <w:ind w:firstLine="420"/>
    </w:pPr>
    <w:rPr>
      <w:rFonts w:eastAsia="等线"/>
      <w:color w:val="000000"/>
      <w:szCs w:val="24"/>
    </w:rPr>
  </w:style>
  <w:style w:type="table" w:styleId="26">
    <w:name w:val="Table Grid"/>
    <w:basedOn w:val="2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8">
    <w:name w:val="Strong"/>
    <w:basedOn w:val="27"/>
    <w:qFormat/>
    <w:uiPriority w:val="22"/>
    <w:rPr>
      <w:b/>
      <w:bCs/>
    </w:rPr>
  </w:style>
  <w:style w:type="character" w:styleId="29">
    <w:name w:val="page number"/>
    <w:basedOn w:val="27"/>
    <w:unhideWhenUsed/>
    <w:qFormat/>
    <w:uiPriority w:val="0"/>
  </w:style>
  <w:style w:type="character" w:styleId="30">
    <w:name w:val="Hyperlink"/>
    <w:basedOn w:val="27"/>
    <w:unhideWhenUsed/>
    <w:qFormat/>
    <w:uiPriority w:val="99"/>
    <w:rPr>
      <w:color w:val="0000FF" w:themeColor="hyperlink"/>
      <w:u w:val="single"/>
      <w14:textFill>
        <w14:solidFill>
          <w14:schemeClr w14:val="hlink"/>
        </w14:solidFill>
      </w14:textFill>
    </w:rPr>
  </w:style>
  <w:style w:type="paragraph" w:customStyle="1" w:styleId="31">
    <w:name w:val="Default"/>
    <w:next w:val="20"/>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32">
    <w:name w:val="页眉 字符"/>
    <w:basedOn w:val="27"/>
    <w:link w:val="18"/>
    <w:semiHidden/>
    <w:qFormat/>
    <w:uiPriority w:val="99"/>
    <w:rPr>
      <w:sz w:val="18"/>
      <w:szCs w:val="18"/>
    </w:rPr>
  </w:style>
  <w:style w:type="character" w:customStyle="1" w:styleId="33">
    <w:name w:val="页脚 字符"/>
    <w:basedOn w:val="27"/>
    <w:link w:val="17"/>
    <w:qFormat/>
    <w:uiPriority w:val="99"/>
    <w:rPr>
      <w:sz w:val="18"/>
      <w:szCs w:val="18"/>
    </w:rPr>
  </w:style>
  <w:style w:type="character" w:customStyle="1" w:styleId="34">
    <w:name w:val="标题 1 字符"/>
    <w:basedOn w:val="27"/>
    <w:link w:val="3"/>
    <w:qFormat/>
    <w:uiPriority w:val="9"/>
    <w:rPr>
      <w:rFonts w:eastAsia="方正小标宋简体"/>
      <w:bCs/>
      <w:kern w:val="44"/>
      <w:sz w:val="44"/>
      <w:szCs w:val="44"/>
    </w:rPr>
  </w:style>
  <w:style w:type="character" w:customStyle="1" w:styleId="35">
    <w:name w:val="标题 2 字符"/>
    <w:basedOn w:val="27"/>
    <w:link w:val="4"/>
    <w:qFormat/>
    <w:uiPriority w:val="9"/>
    <w:rPr>
      <w:rFonts w:eastAsia="方正小标宋简体" w:asciiTheme="majorHAnsi" w:hAnsiTheme="majorHAnsi" w:cstheme="majorBidi"/>
      <w:bCs/>
      <w:sz w:val="36"/>
      <w:szCs w:val="32"/>
    </w:rPr>
  </w:style>
  <w:style w:type="character" w:customStyle="1" w:styleId="36">
    <w:name w:val="标题 3 字符"/>
    <w:basedOn w:val="27"/>
    <w:link w:val="5"/>
    <w:qFormat/>
    <w:uiPriority w:val="9"/>
    <w:rPr>
      <w:rFonts w:ascii="Calibri" w:hAnsi="Calibri" w:eastAsia="宋体" w:cs="Times New Roman"/>
      <w:b/>
      <w:bCs/>
      <w:sz w:val="32"/>
      <w:szCs w:val="32"/>
    </w:rPr>
  </w:style>
  <w:style w:type="paragraph" w:styleId="37">
    <w:name w:val="List Paragraph"/>
    <w:basedOn w:val="1"/>
    <w:link w:val="45"/>
    <w:qFormat/>
    <w:uiPriority w:val="99"/>
    <w:pPr>
      <w:ind w:firstLine="420" w:firstLineChars="200"/>
    </w:pPr>
  </w:style>
  <w:style w:type="paragraph" w:customStyle="1" w:styleId="3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9">
    <w:name w:val="批注框文本 字符"/>
    <w:basedOn w:val="27"/>
    <w:link w:val="16"/>
    <w:semiHidden/>
    <w:qFormat/>
    <w:uiPriority w:val="99"/>
    <w:rPr>
      <w:sz w:val="18"/>
      <w:szCs w:val="18"/>
    </w:rPr>
  </w:style>
  <w:style w:type="paragraph" w:styleId="4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41">
    <w:name w:val="CM97"/>
    <w:basedOn w:val="31"/>
    <w:next w:val="31"/>
    <w:qFormat/>
    <w:uiPriority w:val="0"/>
    <w:pPr>
      <w:spacing w:after="373"/>
    </w:pPr>
    <w:rPr>
      <w:color w:val="auto"/>
    </w:rPr>
  </w:style>
  <w:style w:type="paragraph" w:customStyle="1" w:styleId="42">
    <w:name w:val="CM91"/>
    <w:basedOn w:val="31"/>
    <w:next w:val="31"/>
    <w:qFormat/>
    <w:uiPriority w:val="0"/>
    <w:pPr>
      <w:spacing w:after="160"/>
    </w:pPr>
    <w:rPr>
      <w:color w:val="auto"/>
    </w:rPr>
  </w:style>
  <w:style w:type="character" w:customStyle="1" w:styleId="43">
    <w:name w:val="正文文本 3 Char"/>
    <w:qFormat/>
    <w:uiPriority w:val="99"/>
    <w:rPr>
      <w:sz w:val="16"/>
      <w:szCs w:val="16"/>
    </w:rPr>
  </w:style>
  <w:style w:type="character" w:customStyle="1" w:styleId="44">
    <w:name w:val="正文文本 3 字符"/>
    <w:basedOn w:val="27"/>
    <w:link w:val="9"/>
    <w:semiHidden/>
    <w:qFormat/>
    <w:uiPriority w:val="99"/>
    <w:rPr>
      <w:sz w:val="16"/>
      <w:szCs w:val="16"/>
    </w:rPr>
  </w:style>
  <w:style w:type="character" w:customStyle="1" w:styleId="45">
    <w:name w:val="列表段落 字符"/>
    <w:link w:val="37"/>
    <w:qFormat/>
    <w:uiPriority w:val="34"/>
  </w:style>
  <w:style w:type="paragraph" w:customStyle="1" w:styleId="46">
    <w:name w:val="1"/>
    <w:basedOn w:val="1"/>
    <w:next w:val="14"/>
    <w:qFormat/>
    <w:uiPriority w:val="99"/>
    <w:rPr>
      <w:rFonts w:ascii="宋体" w:hAnsi="Courier New"/>
    </w:rPr>
  </w:style>
  <w:style w:type="paragraph" w:customStyle="1" w:styleId="47">
    <w:name w:val="WPSOffice手动目录 1"/>
    <w:qFormat/>
    <w:uiPriority w:val="0"/>
    <w:rPr>
      <w:rFonts w:asciiTheme="minorHAnsi" w:hAnsiTheme="minorHAnsi" w:eastAsiaTheme="minorEastAsia" w:cstheme="minorBidi"/>
      <w:lang w:val="en-US" w:eastAsia="zh-CN" w:bidi="ar-SA"/>
    </w:rPr>
  </w:style>
  <w:style w:type="paragraph" w:customStyle="1" w:styleId="48">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49">
    <w:name w:val="WPSOffice手动目录 3"/>
    <w:qFormat/>
    <w:uiPriority w:val="0"/>
    <w:pPr>
      <w:ind w:left="400" w:leftChars="400"/>
    </w:pPr>
    <w:rPr>
      <w:rFonts w:asciiTheme="minorHAnsi" w:hAnsiTheme="minorHAnsi" w:eastAsiaTheme="minorEastAsia" w:cstheme="minorBidi"/>
      <w:lang w:val="en-US" w:eastAsia="zh-CN" w:bidi="ar-SA"/>
    </w:rPr>
  </w:style>
  <w:style w:type="paragraph" w:customStyle="1" w:styleId="50">
    <w:name w:val="_Style 4"/>
    <w:basedOn w:val="3"/>
    <w:next w:val="1"/>
    <w:qFormat/>
    <w:uiPriority w:val="0"/>
    <w:pPr>
      <w:keepNext w:val="0"/>
      <w:keepLines w:val="0"/>
      <w:spacing w:before="0" w:after="0" w:line="576" w:lineRule="auto"/>
      <w:jc w:val="left"/>
      <w:outlineLvl w:val="9"/>
    </w:pPr>
    <w:rPr>
      <w:rFonts w:ascii="Calibri" w:hAnsi="Calibri" w:eastAsia="黑体"/>
      <w:bCs w:val="0"/>
      <w:kern w:val="0"/>
      <w:lang w:eastAsia="en-US"/>
    </w:rPr>
  </w:style>
  <w:style w:type="paragraph" w:customStyle="1" w:styleId="51">
    <w:name w:val="_Style 3"/>
    <w:qFormat/>
    <w:uiPriority w:val="0"/>
    <w:pPr>
      <w:widowControl w:val="0"/>
      <w:jc w:val="both"/>
    </w:pPr>
    <w:rPr>
      <w:rFonts w:ascii="Calibri" w:hAnsi="Calibri" w:eastAsia="宋体" w:cs="Times New Roman"/>
      <w:kern w:val="2"/>
      <w:sz w:val="21"/>
      <w:szCs w:val="22"/>
      <w:lang w:val="en-US" w:eastAsia="zh-CN" w:bidi="ar-SA"/>
    </w:rPr>
  </w:style>
  <w:style w:type="character" w:customStyle="1" w:styleId="52">
    <w:name w:val="font41"/>
    <w:basedOn w:val="27"/>
    <w:qFormat/>
    <w:uiPriority w:val="0"/>
    <w:rPr>
      <w:rFonts w:hint="eastAsia" w:ascii="宋体" w:hAnsi="宋体" w:eastAsia="宋体" w:cs="宋体"/>
      <w:color w:val="000000"/>
      <w:sz w:val="21"/>
      <w:szCs w:val="21"/>
      <w:u w:val="none"/>
    </w:rPr>
  </w:style>
  <w:style w:type="character" w:customStyle="1" w:styleId="53">
    <w:name w:val="font21"/>
    <w:basedOn w:val="27"/>
    <w:qFormat/>
    <w:uiPriority w:val="0"/>
    <w:rPr>
      <w:rFonts w:hint="eastAsia" w:ascii="宋体" w:hAnsi="宋体" w:eastAsia="宋体" w:cs="宋体"/>
      <w:color w:val="000000"/>
      <w:sz w:val="21"/>
      <w:szCs w:val="21"/>
      <w:u w:val="none"/>
    </w:rPr>
  </w:style>
  <w:style w:type="paragraph" w:customStyle="1" w:styleId="54">
    <w:name w:val="正文首行2字符"/>
    <w:basedOn w:val="1"/>
    <w:link w:val="55"/>
    <w:qFormat/>
    <w:uiPriority w:val="0"/>
    <w:pPr>
      <w:adjustRightInd w:val="0"/>
      <w:snapToGrid w:val="0"/>
      <w:spacing w:line="360" w:lineRule="auto"/>
      <w:ind w:firstLine="200" w:firstLineChars="200"/>
    </w:pPr>
    <w:rPr>
      <w:rFonts w:eastAsia="宋体"/>
      <w:sz w:val="24"/>
    </w:rPr>
  </w:style>
  <w:style w:type="character" w:customStyle="1" w:styleId="55">
    <w:name w:val="正文首行2字符 字符"/>
    <w:basedOn w:val="27"/>
    <w:link w:val="54"/>
    <w:qFormat/>
    <w:uiPriority w:val="0"/>
    <w:rPr>
      <w:rFonts w:asciiTheme="minorHAnsi" w:hAnsiTheme="minorHAnsi" w:cstheme="minorBidi"/>
      <w:kern w:val="2"/>
      <w:sz w:val="24"/>
      <w:szCs w:val="22"/>
    </w:rPr>
  </w:style>
  <w:style w:type="paragraph" w:customStyle="1" w:styleId="56">
    <w:name w:val="Table Text"/>
    <w:basedOn w:val="1"/>
    <w:semiHidden/>
    <w:qFormat/>
    <w:uiPriority w:val="0"/>
    <w:rPr>
      <w:rFonts w:ascii="宋体" w:hAnsi="宋体" w:eastAsia="宋体" w:cs="宋体"/>
      <w:sz w:val="24"/>
      <w:szCs w:val="24"/>
      <w:lang w:eastAsia="en-US"/>
    </w:rPr>
  </w:style>
  <w:style w:type="table" w:customStyle="1" w:styleId="57">
    <w:name w:val="Table Normal"/>
    <w:semiHidden/>
    <w:unhideWhenUsed/>
    <w:qFormat/>
    <w:uiPriority w:val="0"/>
    <w:tblPr>
      <w:tblCellMar>
        <w:top w:w="0" w:type="dxa"/>
        <w:left w:w="0" w:type="dxa"/>
        <w:bottom w:w="0" w:type="dxa"/>
        <w:right w:w="0" w:type="dxa"/>
      </w:tblCellMar>
    </w:tblPr>
  </w:style>
  <w:style w:type="paragraph" w:customStyle="1" w:styleId="58">
    <w:name w:val="文件正文"/>
    <w:basedOn w:val="1"/>
    <w:link w:val="59"/>
    <w:qFormat/>
    <w:uiPriority w:val="0"/>
    <w:pPr>
      <w:spacing w:before="50" w:beforeLines="50" w:line="360" w:lineRule="auto"/>
      <w:ind w:firstLine="200" w:firstLineChars="200"/>
    </w:pPr>
    <w:rPr>
      <w:sz w:val="24"/>
    </w:rPr>
  </w:style>
  <w:style w:type="character" w:customStyle="1" w:styleId="59">
    <w:name w:val="文件正文 Char"/>
    <w:basedOn w:val="27"/>
    <w:link w:val="58"/>
    <w:qFormat/>
    <w:uiPriority w:val="0"/>
    <w:rPr>
      <w:rFonts w:asciiTheme="minorHAnsi" w:hAnsiTheme="minorHAnsi" w:eastAsiaTheme="minorEastAsia" w:cstheme="minorBidi"/>
      <w:kern w:val="2"/>
      <w:sz w:val="24"/>
      <w:szCs w:val="22"/>
    </w:rPr>
  </w:style>
  <w:style w:type="character" w:customStyle="1" w:styleId="60">
    <w:name w:val="标题 4 字符"/>
    <w:basedOn w:val="27"/>
    <w:link w:val="6"/>
    <w:qFormat/>
    <w:uiPriority w:val="9"/>
    <w:rPr>
      <w:rFonts w:asciiTheme="majorHAnsi" w:hAnsiTheme="majorHAnsi" w:eastAsiaTheme="majorEastAsia" w:cstheme="majorBidi"/>
      <w:b/>
      <w:bCs/>
      <w:kern w:val="2"/>
      <w:sz w:val="28"/>
      <w:szCs w:val="28"/>
    </w:rPr>
  </w:style>
  <w:style w:type="character" w:customStyle="1" w:styleId="61">
    <w:name w:val="font71"/>
    <w:basedOn w:val="27"/>
    <w:qFormat/>
    <w:uiPriority w:val="0"/>
    <w:rPr>
      <w:rFonts w:hint="eastAsia" w:ascii="微软雅黑" w:hAnsi="微软雅黑" w:eastAsia="微软雅黑" w:cs="微软雅黑"/>
      <w:color w:val="FF0000"/>
      <w:sz w:val="20"/>
      <w:szCs w:val="20"/>
      <w:u w:val="none"/>
    </w:rPr>
  </w:style>
  <w:style w:type="character" w:customStyle="1" w:styleId="62">
    <w:name w:val="font61"/>
    <w:basedOn w:val="27"/>
    <w:qFormat/>
    <w:uiPriority w:val="0"/>
    <w:rPr>
      <w:rFonts w:hint="eastAsia" w:ascii="微软雅黑" w:hAnsi="微软雅黑" w:eastAsia="微软雅黑" w:cs="微软雅黑"/>
      <w:color w:val="auto"/>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png"/><Relationship Id="rId14" Type="http://schemas.openxmlformats.org/officeDocument/2006/relationships/image" Target="media/image2.emf"/><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105</Pages>
  <Words>17606</Words>
  <Characters>18663</Characters>
  <Lines>1435</Lines>
  <Paragraphs>1394</Paragraphs>
  <TotalTime>40</TotalTime>
  <ScaleCrop>false</ScaleCrop>
  <LinksUpToDate>false</LinksUpToDate>
  <CharactersWithSpaces>34875</CharactersWithSpaces>
  <Application>WPS Office_11.8.6.11719_F1E327BC-269C-435d-A152-05C5408002CA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2025-10-21T09:22:00Z</dcterms:created>
  <dc:creator>陈义春</dc:creator>
  <cp:lastModifiedBy>CNⅢ</cp:lastModifiedBy>
  <cp:lastPrinted>2025-11-21T03:38:03Z</cp:lastPrinted>
  <dcterms:modified xsi:type="dcterms:W3CDTF">2025-11-21T03:48:19Z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2052-11.8.6.11719</vt:lpwstr>
  </property>
  <property fmtid="{D5CDD505-2E9C-101B-9397-08002B2CF9AE}" pid="3" name="ICV">
    <vt:lpwstr>E69283C2E215494DACB93BF558E513AC</vt:lpwstr>
  </property>
  <property fmtid="{D5CDD505-2E9C-101B-9397-08002B2CF9AE}" pid="4" name="KSOTemplateDocerSaveRecord">
    <vt:lpwstr>eyJoZGlkIjoiM2I4MzJlNmZhNTAyODI2ZTMyNTJjZDNiMDNjMGRmZDAiLCJ1c2VySWQiOiIyNjQ5NjE2NzkifQ==</vt:lpwstr>
  </property>
</Properties>
</file>